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4F4BAF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right="1"/>
        <w:jc w:val="center"/>
        <w:rPr>
          <w:b/>
          <w:color w:val="231F20"/>
        </w:rPr>
      </w:pPr>
      <w:r>
        <w:rPr>
          <w:b/>
          <w:color w:val="231F20"/>
        </w:rPr>
        <w:t>LEY QUE MODIFICA LA LEY 29830,</w:t>
      </w:r>
    </w:p>
    <w:p w14:paraId="00000002" w14:textId="16177B8D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ind w:right="1"/>
        <w:jc w:val="center"/>
        <w:rPr>
          <w:b/>
          <w:color w:val="231F20"/>
        </w:rPr>
      </w:pPr>
      <w:r>
        <w:rPr>
          <w:b/>
          <w:color w:val="231F20"/>
        </w:rPr>
        <w:t>LEY QUE PROMUEVE Y REGULA EL</w:t>
      </w:r>
    </w:p>
    <w:p w14:paraId="00000003" w14:textId="71EB932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ind w:right="1"/>
        <w:jc w:val="center"/>
        <w:rPr>
          <w:b/>
          <w:color w:val="231F20"/>
        </w:rPr>
      </w:pPr>
      <w:r>
        <w:rPr>
          <w:b/>
          <w:color w:val="231F20"/>
        </w:rPr>
        <w:t>USO DE PERROS GUÍA POR PERSONAS CON</w:t>
      </w:r>
      <w:r>
        <w:rPr>
          <w:b/>
          <w:color w:val="231F20"/>
        </w:rPr>
        <w:t xml:space="preserve"> DISCAPACIDAD VISUAL</w:t>
      </w:r>
    </w:p>
    <w:p w14:paraId="00000004" w14:textId="77777777" w:rsidR="006A6D6C" w:rsidRDefault="006A6D6C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/>
        <w:ind w:left="605" w:right="1"/>
        <w:jc w:val="both"/>
        <w:rPr>
          <w:b/>
          <w:color w:val="231F20"/>
        </w:rPr>
      </w:pPr>
    </w:p>
    <w:p w14:paraId="00000005" w14:textId="7777777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/>
        <w:ind w:right="1"/>
        <w:jc w:val="both"/>
        <w:rPr>
          <w:b/>
          <w:color w:val="231F20"/>
        </w:rPr>
      </w:pPr>
      <w:r>
        <w:rPr>
          <w:b/>
          <w:color w:val="231F20"/>
        </w:rPr>
        <w:t xml:space="preserve">Artículo 1. Modificación del artículo 6 de la </w:t>
      </w:r>
      <w:proofErr w:type="gramStart"/>
      <w:r>
        <w:rPr>
          <w:b/>
          <w:color w:val="231F20"/>
        </w:rPr>
        <w:t>Ley  29830</w:t>
      </w:r>
      <w:proofErr w:type="gramEnd"/>
      <w:r>
        <w:rPr>
          <w:b/>
          <w:color w:val="231F20"/>
        </w:rPr>
        <w:t xml:space="preserve">, Ley que promueve y regula el uso de perros  guía por personas con discapacidad visual </w:t>
      </w:r>
    </w:p>
    <w:p w14:paraId="00000006" w14:textId="77777777" w:rsidR="006A6D6C" w:rsidRDefault="006A6D6C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left="145" w:right="1" w:firstLine="261"/>
        <w:jc w:val="both"/>
        <w:rPr>
          <w:color w:val="231F20"/>
        </w:rPr>
      </w:pPr>
    </w:p>
    <w:p w14:paraId="00000007" w14:textId="72139A12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  <w:r>
        <w:rPr>
          <w:color w:val="231F20"/>
        </w:rPr>
        <w:t>Modifícase el artículo 6 de la Ley 29830, con el siguiente</w:t>
      </w:r>
      <w:r>
        <w:rPr>
          <w:color w:val="231F20"/>
        </w:rPr>
        <w:t xml:space="preserve"> texto: </w:t>
      </w:r>
    </w:p>
    <w:p w14:paraId="00000008" w14:textId="5552A19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1"/>
        <w:jc w:val="both"/>
        <w:rPr>
          <w:b/>
          <w:color w:val="231F20"/>
        </w:rPr>
      </w:pPr>
      <w:r>
        <w:rPr>
          <w:b/>
          <w:color w:val="231F20"/>
        </w:rPr>
        <w:t>Artículo 6. Procedimiento administrativo sancionador</w:t>
      </w:r>
      <w:r>
        <w:rPr>
          <w:b/>
          <w:color w:val="231F20"/>
        </w:rPr>
        <w:t xml:space="preserve">  </w:t>
      </w:r>
    </w:p>
    <w:p w14:paraId="00000009" w14:textId="77777777" w:rsidR="006A6D6C" w:rsidRDefault="006A6D6C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</w:p>
    <w:p w14:paraId="0000000A" w14:textId="4128AD4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  <w:r>
        <w:rPr>
          <w:color w:val="231F20"/>
        </w:rPr>
        <w:t>El incumplimiento de las disposiciones de la presente Ley</w:t>
      </w:r>
      <w:r>
        <w:rPr>
          <w:color w:val="231F20"/>
        </w:rPr>
        <w:t xml:space="preserve"> genera infracciones leves, graves y muy graves que</w:t>
      </w:r>
      <w:r>
        <w:rPr>
          <w:color w:val="231F20"/>
        </w:rPr>
        <w:t xml:space="preserve"> se sancionan median</w:t>
      </w:r>
      <w:r>
        <w:rPr>
          <w:color w:val="231F20"/>
        </w:rPr>
        <w:t>te el procedimiento administrativo</w:t>
      </w:r>
      <w:r>
        <w:rPr>
          <w:color w:val="231F20"/>
        </w:rPr>
        <w:t xml:space="preserve"> sancionador. </w:t>
      </w:r>
    </w:p>
    <w:p w14:paraId="0000000B" w14:textId="100C04E1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  <w:r>
        <w:rPr>
          <w:color w:val="231F20"/>
        </w:rPr>
        <w:t>El Consejo Nacional para la Integración de las Personas</w:t>
      </w:r>
      <w:r>
        <w:rPr>
          <w:color w:val="231F20"/>
        </w:rPr>
        <w:t xml:space="preserve"> con Discapacidad (Conadis) es la entidad</w:t>
      </w:r>
      <w:r>
        <w:rPr>
          <w:color w:val="231F20"/>
        </w:rPr>
        <w:t xml:space="preserve"> competente para conocer el procedimiento administrativo</w:t>
      </w:r>
      <w:r>
        <w:rPr>
          <w:color w:val="231F20"/>
        </w:rPr>
        <w:t xml:space="preserve"> sancionador a que se refiere el primer párrafo</w:t>
      </w:r>
      <w:r>
        <w:rPr>
          <w:color w:val="231F20"/>
        </w:rPr>
        <w:t xml:space="preserve">”. </w:t>
      </w:r>
      <w:r>
        <w:rPr>
          <w:color w:val="231F20"/>
        </w:rPr>
        <w:t xml:space="preserve"> </w:t>
      </w:r>
    </w:p>
    <w:p w14:paraId="0000000C" w14:textId="7777777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1"/>
        <w:jc w:val="both"/>
        <w:rPr>
          <w:b/>
          <w:color w:val="231F20"/>
        </w:rPr>
      </w:pPr>
      <w:r>
        <w:rPr>
          <w:b/>
          <w:color w:val="231F20"/>
        </w:rPr>
        <w:t xml:space="preserve">Artículo 2. Incorporación de los artículos 7, 8 y </w:t>
      </w:r>
      <w:proofErr w:type="gramStart"/>
      <w:r>
        <w:rPr>
          <w:b/>
          <w:color w:val="231F20"/>
        </w:rPr>
        <w:t>9  a</w:t>
      </w:r>
      <w:proofErr w:type="gramEnd"/>
      <w:r>
        <w:rPr>
          <w:b/>
          <w:color w:val="231F20"/>
        </w:rPr>
        <w:t xml:space="preserve"> la Ley 29830, Ley que promueve y regula el uso de  perros guía por personas con discapacidad visual </w:t>
      </w:r>
    </w:p>
    <w:p w14:paraId="0000000D" w14:textId="77777777" w:rsidR="006A6D6C" w:rsidRDefault="006A6D6C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</w:p>
    <w:p w14:paraId="0000000E" w14:textId="52FD953D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/>
        <w:ind w:right="1"/>
        <w:jc w:val="both"/>
        <w:rPr>
          <w:color w:val="231F20"/>
        </w:rPr>
      </w:pPr>
      <w:r>
        <w:rPr>
          <w:color w:val="231F20"/>
        </w:rPr>
        <w:t>Incorpórense</w:t>
      </w:r>
      <w:r>
        <w:rPr>
          <w:color w:val="231F20"/>
        </w:rPr>
        <w:t xml:space="preserve"> los artículos 7, 8 y 9 a la Ley 29830, Ley que</w:t>
      </w:r>
      <w:r>
        <w:rPr>
          <w:color w:val="231F20"/>
        </w:rPr>
        <w:t xml:space="preserve"> promueve y regula el uso de perros g</w:t>
      </w:r>
      <w:r>
        <w:rPr>
          <w:color w:val="231F20"/>
        </w:rPr>
        <w:t xml:space="preserve">uía por </w:t>
      </w:r>
      <w:proofErr w:type="gramStart"/>
      <w:r>
        <w:rPr>
          <w:color w:val="231F20"/>
        </w:rPr>
        <w:t>personas  con</w:t>
      </w:r>
      <w:proofErr w:type="gramEnd"/>
      <w:r>
        <w:rPr>
          <w:color w:val="231F20"/>
        </w:rPr>
        <w:t xml:space="preserve"> discapacidad visual, con los siguientes textos: </w:t>
      </w:r>
    </w:p>
    <w:p w14:paraId="0000000F" w14:textId="5E0E125E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1"/>
        <w:jc w:val="both"/>
        <w:rPr>
          <w:b/>
          <w:color w:val="231F20"/>
        </w:rPr>
      </w:pPr>
      <w:r>
        <w:rPr>
          <w:b/>
          <w:color w:val="231F20"/>
        </w:rPr>
        <w:t xml:space="preserve">Artículo 7. Infracciones </w:t>
      </w:r>
    </w:p>
    <w:p w14:paraId="00000010" w14:textId="2319970A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>
        <w:rPr>
          <w:color w:val="231F20"/>
        </w:rPr>
        <w:t>Las infracciones de acuerdo al perjuicio que puede causar</w:t>
      </w:r>
      <w:r>
        <w:rPr>
          <w:color w:val="231F20"/>
        </w:rPr>
        <w:t xml:space="preserve"> a la persona con discapacidad pueden ser leves</w:t>
      </w:r>
      <w:r>
        <w:rPr>
          <w:color w:val="231F20"/>
        </w:rPr>
        <w:t xml:space="preserve">, graves y muy graves. </w:t>
      </w:r>
    </w:p>
    <w:p w14:paraId="00000011" w14:textId="77777777" w:rsidR="006A6D6C" w:rsidRPr="00760673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ind w:right="1"/>
        <w:jc w:val="both"/>
        <w:rPr>
          <w:b/>
          <w:bCs/>
          <w:color w:val="231F20"/>
        </w:rPr>
      </w:pPr>
      <w:r w:rsidRPr="00760673">
        <w:rPr>
          <w:b/>
          <w:bCs/>
          <w:color w:val="231F20"/>
        </w:rPr>
        <w:t xml:space="preserve">a. Constituyen infracciones leves: </w:t>
      </w:r>
    </w:p>
    <w:p w14:paraId="00000012" w14:textId="167FE0C4" w:rsidR="006A6D6C" w:rsidRPr="00760673" w:rsidRDefault="00760673" w:rsidP="0076067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  <w:sectPr w:rsidR="006A6D6C" w:rsidRPr="00760673">
          <w:pgSz w:w="9760" w:h="15580"/>
          <w:pgMar w:top="1200" w:right="1257" w:bottom="382" w:left="992" w:header="0" w:footer="720" w:gutter="0"/>
          <w:pgNumType w:start="1"/>
          <w:cols w:space="720" w:equalWidth="0">
            <w:col w:w="7509" w:space="0"/>
          </w:cols>
        </w:sectPr>
      </w:pPr>
      <w:r w:rsidRPr="00760673">
        <w:rPr>
          <w:color w:val="231F20"/>
        </w:rPr>
        <w:t>La exigencia de un pago adicional a la persona con</w:t>
      </w:r>
      <w:r w:rsidRPr="00760673">
        <w:rPr>
          <w:color w:val="231F20"/>
        </w:rPr>
        <w:t xml:space="preserve"> discapa</w:t>
      </w:r>
      <w:r w:rsidRPr="00760673">
        <w:rPr>
          <w:color w:val="231F20"/>
        </w:rPr>
        <w:t>cidad visual acompañada de su perro</w:t>
      </w:r>
      <w:r w:rsidRPr="00760673">
        <w:rPr>
          <w:color w:val="231F20"/>
        </w:rPr>
        <w:t xml:space="preserve"> guía, por parte del prestador del servicio de</w:t>
      </w:r>
      <w:r w:rsidRPr="00760673">
        <w:rPr>
          <w:color w:val="231F20"/>
        </w:rPr>
        <w:t xml:space="preserve"> transporte.</w:t>
      </w:r>
    </w:p>
    <w:p w14:paraId="00000013" w14:textId="7111DD16" w:rsidR="006A6D6C" w:rsidRPr="00760673" w:rsidRDefault="00760673" w:rsidP="00760673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56"/>
        <w:ind w:right="1"/>
        <w:jc w:val="both"/>
        <w:rPr>
          <w:color w:val="231F20"/>
        </w:rPr>
      </w:pPr>
      <w:r w:rsidRPr="00760673">
        <w:rPr>
          <w:color w:val="231F20"/>
        </w:rPr>
        <w:t>La exigencia de los responsables de la administración</w:t>
      </w:r>
      <w:r w:rsidRPr="00760673">
        <w:rPr>
          <w:color w:val="231F20"/>
        </w:rPr>
        <w:t xml:space="preserve"> de los lugares públicos o privados</w:t>
      </w:r>
      <w:r w:rsidRPr="00760673">
        <w:rPr>
          <w:color w:val="231F20"/>
        </w:rPr>
        <w:t xml:space="preserve"> de uso público de un pago adicional a</w:t>
      </w:r>
      <w:r w:rsidRPr="00760673">
        <w:rPr>
          <w:color w:val="231F20"/>
        </w:rPr>
        <w:t xml:space="preserve"> la persona con discapacidad visual acompañada</w:t>
      </w:r>
      <w:r w:rsidRPr="00760673">
        <w:rPr>
          <w:color w:val="231F20"/>
        </w:rPr>
        <w:t xml:space="preserve"> por su perro guía por el acceso y permanencia</w:t>
      </w:r>
      <w:r w:rsidRPr="00760673">
        <w:rPr>
          <w:color w:val="231F20"/>
        </w:rPr>
        <w:t xml:space="preserve"> de dicho perro guía. </w:t>
      </w:r>
    </w:p>
    <w:p w14:paraId="00000014" w14:textId="77777777" w:rsidR="006A6D6C" w:rsidRPr="00760673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ind w:right="1"/>
        <w:jc w:val="both"/>
        <w:rPr>
          <w:b/>
          <w:bCs/>
          <w:color w:val="231F20"/>
        </w:rPr>
      </w:pPr>
      <w:r w:rsidRPr="00760673">
        <w:rPr>
          <w:b/>
          <w:bCs/>
          <w:color w:val="231F20"/>
        </w:rPr>
        <w:t>b</w:t>
      </w:r>
      <w:r w:rsidRPr="00760673">
        <w:rPr>
          <w:b/>
          <w:bCs/>
          <w:color w:val="231F20"/>
        </w:rPr>
        <w:t>. Cons</w:t>
      </w:r>
      <w:r w:rsidRPr="00760673">
        <w:rPr>
          <w:b/>
          <w:bCs/>
          <w:color w:val="231F20"/>
        </w:rPr>
        <w:t xml:space="preserve">tituyen infracciones graves:  </w:t>
      </w:r>
    </w:p>
    <w:p w14:paraId="00000015" w14:textId="2C54C276" w:rsidR="006A6D6C" w:rsidRPr="00760673" w:rsidRDefault="00760673" w:rsidP="0076067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>Negar a la persona con discapacidad visual acompañada</w:t>
      </w:r>
      <w:r w:rsidRPr="00760673">
        <w:rPr>
          <w:color w:val="231F20"/>
        </w:rPr>
        <w:t xml:space="preserve"> de su perro guía el derecho de</w:t>
      </w:r>
      <w:r w:rsidRPr="00760673">
        <w:rPr>
          <w:color w:val="231F20"/>
        </w:rPr>
        <w:t xml:space="preserve"> acceder, permanecer y trasladarse en los</w:t>
      </w:r>
      <w:r w:rsidRPr="00760673">
        <w:rPr>
          <w:color w:val="231F20"/>
        </w:rPr>
        <w:t xml:space="preserve"> medios de transporte de pasajeros terrestre</w:t>
      </w:r>
      <w:r w:rsidRPr="00760673">
        <w:rPr>
          <w:color w:val="231F20"/>
        </w:rPr>
        <w:t>, ferroviario, aéreo, acuático u otros</w:t>
      </w:r>
      <w:r w:rsidRPr="00760673">
        <w:rPr>
          <w:color w:val="231F20"/>
        </w:rPr>
        <w:t xml:space="preserve"> que prest</w:t>
      </w:r>
      <w:r w:rsidRPr="00760673">
        <w:rPr>
          <w:color w:val="231F20"/>
        </w:rPr>
        <w:t>en servicios en el territorio nacional</w:t>
      </w:r>
      <w:r w:rsidRPr="00760673">
        <w:rPr>
          <w:color w:val="231F20"/>
        </w:rPr>
        <w:t xml:space="preserve">. </w:t>
      </w:r>
    </w:p>
    <w:p w14:paraId="00000016" w14:textId="30117C61" w:rsidR="006A6D6C" w:rsidRPr="00760673" w:rsidRDefault="00760673" w:rsidP="0076067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>La negativa de asignar al pasajero con discapacidad</w:t>
      </w:r>
      <w:r w:rsidRPr="00760673">
        <w:rPr>
          <w:color w:val="231F20"/>
        </w:rPr>
        <w:t xml:space="preserve"> visual acompañado de su perro guía</w:t>
      </w:r>
      <w:r w:rsidRPr="00760673">
        <w:rPr>
          <w:color w:val="231F20"/>
        </w:rPr>
        <w:t>, un asiento con espacio suficiente para el</w:t>
      </w:r>
      <w:r w:rsidRPr="00760673">
        <w:rPr>
          <w:color w:val="231F20"/>
        </w:rPr>
        <w:t xml:space="preserve"> transporte de ambos, de manera tal que se</w:t>
      </w:r>
      <w:r w:rsidRPr="00760673">
        <w:rPr>
          <w:color w:val="231F20"/>
        </w:rPr>
        <w:t xml:space="preserve"> afecten o disminuyan, como producto del</w:t>
      </w:r>
      <w:r w:rsidRPr="00760673">
        <w:rPr>
          <w:color w:val="231F20"/>
        </w:rPr>
        <w:t xml:space="preserve"> </w:t>
      </w:r>
      <w:r w:rsidRPr="00760673">
        <w:rPr>
          <w:color w:val="231F20"/>
        </w:rPr>
        <w:lastRenderedPageBreak/>
        <w:t>viaje, las capacidades de movilidad o de funcionalidad</w:t>
      </w:r>
      <w:r w:rsidRPr="00760673">
        <w:rPr>
          <w:color w:val="231F20"/>
        </w:rPr>
        <w:t xml:space="preserve"> para las que fue entrenado el perro</w:t>
      </w:r>
      <w:r w:rsidRPr="00760673">
        <w:rPr>
          <w:color w:val="231F20"/>
        </w:rPr>
        <w:t xml:space="preserve"> guía. </w:t>
      </w:r>
    </w:p>
    <w:p w14:paraId="00000017" w14:textId="050A5845" w:rsidR="006A6D6C" w:rsidRPr="00760673" w:rsidRDefault="00760673" w:rsidP="00760673">
      <w:pPr>
        <w:pStyle w:val="Prrafodelista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>La negativa de permitir el ingreso de la persona</w:t>
      </w:r>
      <w:r w:rsidRPr="00760673">
        <w:rPr>
          <w:color w:val="231F20"/>
        </w:rPr>
        <w:t xml:space="preserve"> con discapacidad</w:t>
      </w:r>
      <w:r w:rsidRPr="00760673">
        <w:rPr>
          <w:color w:val="231F20"/>
        </w:rPr>
        <w:t xml:space="preserve"> visual acompañada de</w:t>
      </w:r>
      <w:r w:rsidRPr="00760673">
        <w:rPr>
          <w:color w:val="231F20"/>
        </w:rPr>
        <w:t xml:space="preserve"> su perro guía en igualdad de condiciones que</w:t>
      </w:r>
      <w:r w:rsidRPr="00760673">
        <w:rPr>
          <w:color w:val="231F20"/>
        </w:rPr>
        <w:t xml:space="preserve"> los demás a </w:t>
      </w:r>
      <w:r w:rsidRPr="00760673">
        <w:rPr>
          <w:color w:val="231F20"/>
        </w:rPr>
        <w:t>lugares o espacios donde se presten</w:t>
      </w:r>
      <w:r w:rsidRPr="00760673">
        <w:rPr>
          <w:color w:val="231F20"/>
        </w:rPr>
        <w:t xml:space="preserve"> servicios de atención al público, de propiedad</w:t>
      </w:r>
      <w:r w:rsidRPr="00760673">
        <w:rPr>
          <w:color w:val="231F20"/>
        </w:rPr>
        <w:t xml:space="preserve"> pública o privada. </w:t>
      </w:r>
    </w:p>
    <w:p w14:paraId="00000018" w14:textId="77777777" w:rsidR="006A6D6C" w:rsidRPr="00760673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ind w:right="1"/>
        <w:jc w:val="both"/>
        <w:rPr>
          <w:b/>
          <w:bCs/>
          <w:color w:val="231F20"/>
        </w:rPr>
      </w:pPr>
      <w:r w:rsidRPr="00760673">
        <w:rPr>
          <w:b/>
          <w:bCs/>
          <w:color w:val="231F20"/>
        </w:rPr>
        <w:t>c</w:t>
      </w:r>
      <w:r w:rsidRPr="00760673">
        <w:rPr>
          <w:b/>
          <w:bCs/>
          <w:color w:val="231F20"/>
        </w:rPr>
        <w:t xml:space="preserve">. </w:t>
      </w:r>
      <w:r w:rsidRPr="00760673">
        <w:rPr>
          <w:b/>
          <w:bCs/>
          <w:color w:val="231F20"/>
        </w:rPr>
        <w:t>Constituyen</w:t>
      </w:r>
      <w:r w:rsidRPr="00760673">
        <w:rPr>
          <w:b/>
          <w:bCs/>
          <w:color w:val="231F20"/>
        </w:rPr>
        <w:t xml:space="preserve"> infracciones muy graves: </w:t>
      </w:r>
    </w:p>
    <w:p w14:paraId="00000019" w14:textId="196A1724" w:rsidR="006A6D6C" w:rsidRPr="00760673" w:rsidRDefault="00760673" w:rsidP="0076067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>El impedimento de ingreso por primera vez al país</w:t>
      </w:r>
      <w:r w:rsidRPr="00760673">
        <w:rPr>
          <w:color w:val="231F20"/>
        </w:rPr>
        <w:t xml:space="preserve"> de la persona con discapacidad </w:t>
      </w:r>
      <w:proofErr w:type="gramStart"/>
      <w:r w:rsidRPr="00760673">
        <w:rPr>
          <w:color w:val="231F20"/>
        </w:rPr>
        <w:t>visual  acompañada</w:t>
      </w:r>
      <w:proofErr w:type="gramEnd"/>
      <w:r w:rsidRPr="00760673">
        <w:rPr>
          <w:color w:val="231F20"/>
        </w:rPr>
        <w:t xml:space="preserve"> por su</w:t>
      </w:r>
      <w:r w:rsidRPr="00760673">
        <w:rPr>
          <w:color w:val="231F20"/>
        </w:rPr>
        <w:t xml:space="preserve"> perro guía, habiendo  cumplido con lo dispuesto en el literal a) del  artículo 3.  </w:t>
      </w:r>
    </w:p>
    <w:p w14:paraId="0000001A" w14:textId="432C8BC3" w:rsidR="006A6D6C" w:rsidRPr="00760673" w:rsidRDefault="00760673" w:rsidP="0076067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El impedimento de tránsito de ingreso y </w:t>
      </w:r>
      <w:proofErr w:type="gramStart"/>
      <w:r w:rsidRPr="00760673">
        <w:rPr>
          <w:color w:val="231F20"/>
        </w:rPr>
        <w:t>salida  del</w:t>
      </w:r>
      <w:proofErr w:type="gramEnd"/>
      <w:r w:rsidRPr="00760673">
        <w:rPr>
          <w:color w:val="231F20"/>
        </w:rPr>
        <w:t xml:space="preserve"> país de la persona con discapacidad visual  acompañada de su perro guía acreditado ante  el Consejo Nacional para la</w:t>
      </w:r>
      <w:r w:rsidRPr="00760673">
        <w:rPr>
          <w:color w:val="231F20"/>
        </w:rPr>
        <w:t xml:space="preserve"> Integración de  las Personas con Discapacidad (Conadis) y  que cuenta con la vigencia de las siguientes  vacunas y tratamientos: </w:t>
      </w:r>
    </w:p>
    <w:p w14:paraId="0000001B" w14:textId="17D948A1" w:rsidR="006A6D6C" w:rsidRP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1"/>
        <w:ind w:right="1"/>
        <w:jc w:val="both"/>
        <w:rPr>
          <w:color w:val="231F20"/>
        </w:rPr>
      </w:pPr>
      <w:r w:rsidRPr="00760673">
        <w:rPr>
          <w:color w:val="231F20"/>
        </w:rPr>
        <w:t>Enfermedad d</w:t>
      </w:r>
      <w:r w:rsidRPr="00760673">
        <w:rPr>
          <w:color w:val="231F20"/>
        </w:rPr>
        <w:t xml:space="preserve">e carré (distémper). </w:t>
      </w:r>
    </w:p>
    <w:p w14:paraId="0000001C" w14:textId="75658D5E" w:rsidR="006A6D6C" w:rsidRP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Hepatitis canina. </w:t>
      </w:r>
    </w:p>
    <w:p w14:paraId="0000001D" w14:textId="23EDB2F0" w:rsidR="006A6D6C" w:rsidRP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Leptospirosis (Leptospira canícola </w:t>
      </w:r>
      <w:proofErr w:type="gramStart"/>
      <w:r w:rsidRPr="00760673">
        <w:rPr>
          <w:color w:val="231F20"/>
        </w:rPr>
        <w:t>e  icterohaemorrhagie</w:t>
      </w:r>
      <w:proofErr w:type="gramEnd"/>
      <w:r w:rsidRPr="00760673">
        <w:rPr>
          <w:color w:val="231F20"/>
        </w:rPr>
        <w:t xml:space="preserve">). </w:t>
      </w:r>
    </w:p>
    <w:p w14:paraId="0000001E" w14:textId="57034072" w:rsidR="006A6D6C" w:rsidRP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Parvovirosis (Parvovirus canino) </w:t>
      </w:r>
      <w:proofErr w:type="gramStart"/>
      <w:r w:rsidRPr="00760673">
        <w:rPr>
          <w:color w:val="231F20"/>
        </w:rPr>
        <w:t>y  Coronavirosis</w:t>
      </w:r>
      <w:proofErr w:type="gramEnd"/>
      <w:r w:rsidRPr="00760673">
        <w:rPr>
          <w:color w:val="231F20"/>
        </w:rPr>
        <w:t xml:space="preserve">. </w:t>
      </w:r>
    </w:p>
    <w:p w14:paraId="0000001F" w14:textId="77BD356C" w:rsidR="006A6D6C" w:rsidRP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Rabia (animales mayores de 3 meses). - Parainfluenza. </w:t>
      </w:r>
    </w:p>
    <w:p w14:paraId="520E7919" w14:textId="77777777" w:rsidR="00760673" w:rsidRDefault="00760673" w:rsidP="00760673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 xml:space="preserve">-Tratamiento contra parásitos externos </w:t>
      </w:r>
      <w:proofErr w:type="gramStart"/>
      <w:r w:rsidRPr="00760673">
        <w:rPr>
          <w:color w:val="231F20"/>
        </w:rPr>
        <w:t>e  internos</w:t>
      </w:r>
      <w:proofErr w:type="gramEnd"/>
      <w:r w:rsidRPr="00760673">
        <w:rPr>
          <w:color w:val="231F20"/>
        </w:rPr>
        <w:t xml:space="preserve"> con una antigüedad no mayor de  </w:t>
      </w:r>
      <w:r w:rsidRPr="00760673">
        <w:rPr>
          <w:color w:val="231F20"/>
        </w:rPr>
        <w:t>90 días calendario</w:t>
      </w:r>
      <w:r w:rsidRPr="00760673">
        <w:rPr>
          <w:color w:val="231F20"/>
        </w:rPr>
        <w:t xml:space="preserve">. </w:t>
      </w:r>
    </w:p>
    <w:p w14:paraId="7F978472" w14:textId="54F5E4FA" w:rsidR="00760673" w:rsidRDefault="00760673" w:rsidP="0076067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>La negativa de otorgar la licencia con goce de haber</w:t>
      </w:r>
      <w:r w:rsidRPr="00760673">
        <w:rPr>
          <w:color w:val="231F20"/>
        </w:rPr>
        <w:t>, hasta por treinta días, a la persona con discapacidad</w:t>
      </w:r>
      <w:r w:rsidRPr="00760673">
        <w:rPr>
          <w:color w:val="231F20"/>
        </w:rPr>
        <w:t xml:space="preserve"> visual que requiera </w:t>
      </w:r>
      <w:proofErr w:type="gramStart"/>
      <w:r w:rsidRPr="00760673">
        <w:rPr>
          <w:color w:val="231F20"/>
        </w:rPr>
        <w:t>capacitarse  en</w:t>
      </w:r>
      <w:proofErr w:type="gramEnd"/>
      <w:r w:rsidRPr="00760673">
        <w:rPr>
          <w:color w:val="231F20"/>
        </w:rPr>
        <w:t xml:space="preserve"> el uso de perro guía y que cuente con  la inscripción y aceptación en el curso de  capacitación de una escuela</w:t>
      </w:r>
      <w:r w:rsidRPr="00760673">
        <w:rPr>
          <w:color w:val="231F20"/>
        </w:rPr>
        <w:t xml:space="preserve"> reconocida por  la Federación Internacional de Escuelas de  Perros Guía. </w:t>
      </w:r>
    </w:p>
    <w:p w14:paraId="740213E7" w14:textId="77777777" w:rsidR="00760673" w:rsidRDefault="00760673" w:rsidP="00760673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ind w:left="360" w:right="1"/>
        <w:jc w:val="both"/>
        <w:rPr>
          <w:color w:val="231F20"/>
        </w:rPr>
      </w:pPr>
    </w:p>
    <w:p w14:paraId="00000022" w14:textId="686F22E6" w:rsidR="006A6D6C" w:rsidRPr="00760673" w:rsidRDefault="00760673" w:rsidP="00760673">
      <w:pPr>
        <w:pStyle w:val="Prrafode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 w:rsidRPr="00760673">
        <w:rPr>
          <w:color w:val="231F20"/>
        </w:rPr>
        <w:t>El impedimento de la persona con discapacidad</w:t>
      </w:r>
      <w:r w:rsidRPr="00760673">
        <w:rPr>
          <w:color w:val="231F20"/>
        </w:rPr>
        <w:t xml:space="preserve"> visual a acceder y permanecer acompañada</w:t>
      </w:r>
      <w:r w:rsidRPr="00760673">
        <w:rPr>
          <w:color w:val="231F20"/>
        </w:rPr>
        <w:t xml:space="preserve"> de su perro guía en su centro </w:t>
      </w:r>
      <w:proofErr w:type="gramStart"/>
      <w:r w:rsidRPr="00760673">
        <w:rPr>
          <w:color w:val="231F20"/>
        </w:rPr>
        <w:t>de  trabajo</w:t>
      </w:r>
      <w:proofErr w:type="gramEnd"/>
      <w:r w:rsidRPr="00760673">
        <w:rPr>
          <w:color w:val="231F20"/>
        </w:rPr>
        <w:t xml:space="preserve"> o lugar de prestación de sus servicios. </w:t>
      </w:r>
    </w:p>
    <w:p w14:paraId="00000023" w14:textId="0A9AC27A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1"/>
        <w:jc w:val="both"/>
        <w:rPr>
          <w:b/>
          <w:color w:val="231F20"/>
        </w:rPr>
      </w:pPr>
      <w:r>
        <w:rPr>
          <w:b/>
          <w:color w:val="231F20"/>
        </w:rPr>
        <w:t>Artí</w:t>
      </w:r>
      <w:r>
        <w:rPr>
          <w:b/>
          <w:color w:val="231F20"/>
        </w:rPr>
        <w:t>culo</w:t>
      </w:r>
      <w:r>
        <w:rPr>
          <w:b/>
          <w:color w:val="231F20"/>
        </w:rPr>
        <w:t xml:space="preserve"> 8. Sanciones  </w:t>
      </w:r>
    </w:p>
    <w:p w14:paraId="00000024" w14:textId="7777777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>
        <w:rPr>
          <w:color w:val="231F20"/>
        </w:rPr>
        <w:t xml:space="preserve">La multa que se aplica como sanción a las </w:t>
      </w:r>
      <w:proofErr w:type="gramStart"/>
      <w:r>
        <w:rPr>
          <w:color w:val="231F20"/>
        </w:rPr>
        <w:t>infracciones  que</w:t>
      </w:r>
      <w:proofErr w:type="gramEnd"/>
      <w:r>
        <w:rPr>
          <w:color w:val="231F20"/>
        </w:rPr>
        <w:t xml:space="preserve"> se cometan van desde 0.5 unidades impositivas  tributarias hasta 12 unidades impositivas tributarias y  se sujetan a la escala siguiente: </w:t>
      </w:r>
    </w:p>
    <w:p w14:paraId="00000025" w14:textId="7777777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141" w:right="1"/>
        <w:jc w:val="both"/>
        <w:rPr>
          <w:color w:val="231F20"/>
        </w:rPr>
      </w:pPr>
      <w:r>
        <w:rPr>
          <w:color w:val="231F20"/>
        </w:rPr>
        <w:t xml:space="preserve">a) </w:t>
      </w:r>
      <w:r>
        <w:rPr>
          <w:color w:val="231F20"/>
        </w:rPr>
        <w:t>Infracción</w:t>
      </w:r>
      <w:r>
        <w:rPr>
          <w:color w:val="231F20"/>
        </w:rPr>
        <w:t xml:space="preserve"> </w:t>
      </w:r>
      <w:proofErr w:type="gramStart"/>
      <w:r>
        <w:rPr>
          <w:color w:val="231F20"/>
        </w:rPr>
        <w:t>leve :</w:t>
      </w:r>
      <w:proofErr w:type="gramEnd"/>
      <w:r>
        <w:rPr>
          <w:color w:val="231F20"/>
        </w:rPr>
        <w:t xml:space="preserve"> De 0.50 de la UIT hasta 2 UIT </w:t>
      </w:r>
    </w:p>
    <w:p w14:paraId="00000026" w14:textId="0E83B1F9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141" w:right="1"/>
        <w:jc w:val="both"/>
        <w:rPr>
          <w:color w:val="231F20"/>
        </w:rPr>
      </w:pPr>
      <w:r>
        <w:rPr>
          <w:color w:val="231F20"/>
        </w:rPr>
        <w:t>b) Infracción grave:</w:t>
      </w:r>
      <w:r>
        <w:rPr>
          <w:color w:val="231F20"/>
        </w:rPr>
        <w:t xml:space="preserve"> Mayor a 2 UIT hasta 8 UIT </w:t>
      </w:r>
    </w:p>
    <w:p w14:paraId="00000027" w14:textId="4678A09A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/>
        <w:ind w:left="141" w:right="1"/>
        <w:jc w:val="both"/>
        <w:rPr>
          <w:color w:val="231F20"/>
        </w:rPr>
      </w:pPr>
      <w:r>
        <w:rPr>
          <w:color w:val="231F20"/>
        </w:rPr>
        <w:t>c) Infracción muy grave:</w:t>
      </w:r>
      <w:r>
        <w:rPr>
          <w:color w:val="231F20"/>
        </w:rPr>
        <w:t xml:space="preserve"> Mayor a 8 UIT hasta 12 UIT </w:t>
      </w:r>
    </w:p>
    <w:p w14:paraId="00000028" w14:textId="1B1930DC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/>
        <w:ind w:right="1"/>
        <w:jc w:val="both"/>
        <w:rPr>
          <w:color w:val="231F20"/>
        </w:rPr>
      </w:pPr>
      <w:r>
        <w:rPr>
          <w:color w:val="231F20"/>
        </w:rPr>
        <w:t>El Consejo Nacional para la Integración de las Personas</w:t>
      </w:r>
      <w:r>
        <w:rPr>
          <w:color w:val="231F20"/>
        </w:rPr>
        <w:t xml:space="preserve"> con Discapacidad (Conadis) es la entidad  </w:t>
      </w:r>
    </w:p>
    <w:p w14:paraId="00000029" w14:textId="174F0996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>
        <w:rPr>
          <w:color w:val="231F20"/>
        </w:rPr>
        <w:t xml:space="preserve">encargada del </w:t>
      </w:r>
      <w:r>
        <w:rPr>
          <w:color w:val="231F20"/>
        </w:rPr>
        <w:t>recaudo y administración de las multas, las</w:t>
      </w:r>
      <w:r>
        <w:rPr>
          <w:color w:val="231F20"/>
        </w:rPr>
        <w:t xml:space="preserve"> cuales son destinadas para el desarrollo de programas</w:t>
      </w:r>
      <w:r>
        <w:rPr>
          <w:color w:val="231F20"/>
        </w:rPr>
        <w:t xml:space="preserve"> de difusión y toma de conciencia sobre </w:t>
      </w:r>
      <w:proofErr w:type="gramStart"/>
      <w:r>
        <w:rPr>
          <w:color w:val="231F20"/>
        </w:rPr>
        <w:t>el  uso</w:t>
      </w:r>
      <w:proofErr w:type="gramEnd"/>
      <w:r>
        <w:rPr>
          <w:color w:val="231F20"/>
        </w:rPr>
        <w:t xml:space="preserve"> de perros guía para personas con discapacidad  visual. </w:t>
      </w:r>
    </w:p>
    <w:p w14:paraId="0000002A" w14:textId="6E236B87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/>
        <w:ind w:right="1"/>
        <w:jc w:val="both"/>
        <w:rPr>
          <w:b/>
          <w:color w:val="231F20"/>
        </w:rPr>
      </w:pPr>
      <w:r>
        <w:rPr>
          <w:b/>
          <w:color w:val="231F20"/>
        </w:rPr>
        <w:lastRenderedPageBreak/>
        <w:t>Artículo</w:t>
      </w:r>
      <w:r>
        <w:rPr>
          <w:b/>
          <w:color w:val="231F20"/>
        </w:rPr>
        <w:t xml:space="preserve"> 9. Límites al acceso </w:t>
      </w:r>
    </w:p>
    <w:p w14:paraId="0000002B" w14:textId="77777777" w:rsidR="006A6D6C" w:rsidRDefault="006A6D6C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</w:p>
    <w:p w14:paraId="0000002C" w14:textId="113CF906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ind w:right="1"/>
        <w:jc w:val="both"/>
        <w:rPr>
          <w:color w:val="231F20"/>
        </w:rPr>
      </w:pPr>
      <w:r>
        <w:rPr>
          <w:color w:val="231F20"/>
        </w:rPr>
        <w:t>Solo se puede determinar límites al acceso, tránsito y</w:t>
      </w:r>
      <w:r>
        <w:rPr>
          <w:color w:val="231F20"/>
        </w:rPr>
        <w:t xml:space="preserve"> permanencia de los perros guía en las áreas de acceso</w:t>
      </w:r>
      <w:r>
        <w:rPr>
          <w:color w:val="231F20"/>
        </w:rPr>
        <w:t xml:space="preserve"> restringido, conforme a las leyes de la materia. De ser el caso, la entidad responsable de la administración</w:t>
      </w:r>
      <w:r>
        <w:rPr>
          <w:color w:val="231F20"/>
        </w:rPr>
        <w:t xml:space="preserve"> de las áreas de acceso restringido, en</w:t>
      </w:r>
      <w:r>
        <w:rPr>
          <w:color w:val="231F20"/>
        </w:rPr>
        <w:t xml:space="preserve"> coordinación con el Consejo Nacional para la Integración</w:t>
      </w:r>
      <w:r>
        <w:rPr>
          <w:color w:val="231F20"/>
        </w:rPr>
        <w:t xml:space="preserve"> de las Personas con Discapacidad (</w:t>
      </w:r>
      <w:r>
        <w:rPr>
          <w:color w:val="231F20"/>
        </w:rPr>
        <w:t>Conadis), determina los mecanismos de atención especial</w:t>
      </w:r>
      <w:r>
        <w:rPr>
          <w:color w:val="231F20"/>
        </w:rPr>
        <w:t xml:space="preserve"> o preferencial a las personas con discapacidad</w:t>
      </w:r>
      <w:r>
        <w:rPr>
          <w:color w:val="231F20"/>
        </w:rPr>
        <w:t xml:space="preserve"> visual”. </w:t>
      </w:r>
    </w:p>
    <w:p w14:paraId="0000002D" w14:textId="35D891DE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ind w:right="1"/>
        <w:jc w:val="both"/>
        <w:rPr>
          <w:color w:val="231F20"/>
        </w:rPr>
      </w:pPr>
      <w:r>
        <w:rPr>
          <w:color w:val="231F20"/>
        </w:rPr>
        <w:t>Comuníquese al señor presidente</w:t>
      </w:r>
      <w:r>
        <w:rPr>
          <w:color w:val="231F20"/>
        </w:rPr>
        <w:t xml:space="preserve"> de la República para</w:t>
      </w:r>
      <w:r>
        <w:rPr>
          <w:color w:val="231F20"/>
        </w:rPr>
        <w:t xml:space="preserve"> su promulgación. </w:t>
      </w:r>
    </w:p>
    <w:p w14:paraId="0000002E" w14:textId="705D0311" w:rsidR="006A6D6C" w:rsidRDefault="00760673" w:rsidP="0076067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/>
        <w:ind w:right="1"/>
        <w:jc w:val="both"/>
        <w:rPr>
          <w:color w:val="231F20"/>
        </w:rPr>
      </w:pPr>
      <w:r>
        <w:rPr>
          <w:color w:val="231F20"/>
        </w:rPr>
        <w:t>En Lima, a los veintisiete días del mes de abril de dos mil</w:t>
      </w:r>
      <w:r>
        <w:rPr>
          <w:color w:val="231F20"/>
        </w:rPr>
        <w:t xml:space="preserve"> dieciséis. </w:t>
      </w:r>
    </w:p>
    <w:sectPr w:rsidR="006A6D6C">
      <w:type w:val="continuous"/>
      <w:pgSz w:w="9760" w:h="15580"/>
      <w:pgMar w:top="1200" w:right="1257" w:bottom="382" w:left="992" w:header="0" w:footer="720" w:gutter="0"/>
      <w:cols w:space="720" w:equalWidth="0">
        <w:col w:w="75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974"/>
    <w:multiLevelType w:val="hybridMultilevel"/>
    <w:tmpl w:val="7ADA641A"/>
    <w:lvl w:ilvl="0" w:tplc="26F83EB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006F7"/>
    <w:multiLevelType w:val="hybridMultilevel"/>
    <w:tmpl w:val="D1C055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FA0B9C"/>
    <w:multiLevelType w:val="hybridMultilevel"/>
    <w:tmpl w:val="3B8E0FB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61D8B"/>
    <w:multiLevelType w:val="hybridMultilevel"/>
    <w:tmpl w:val="1BBEBCD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7767"/>
    <w:multiLevelType w:val="hybridMultilevel"/>
    <w:tmpl w:val="DAC8CC2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6C"/>
    <w:rsid w:val="006A6D6C"/>
    <w:rsid w:val="0076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3AAF6"/>
  <w15:docId w15:val="{3AD71BC9-0F3C-42EC-94AA-011699D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PE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76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Maria Gutierrez Melgarejo</cp:lastModifiedBy>
  <cp:revision>2</cp:revision>
  <dcterms:created xsi:type="dcterms:W3CDTF">2021-09-03T20:35:00Z</dcterms:created>
  <dcterms:modified xsi:type="dcterms:W3CDTF">2021-09-03T20:45:00Z</dcterms:modified>
</cp:coreProperties>
</file>