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832D" w14:textId="77777777" w:rsidR="00533F29" w:rsidRPr="009B5640" w:rsidRDefault="00533F29" w:rsidP="009B5640">
      <w:pPr>
        <w:pStyle w:val="Ttulo1"/>
        <w:spacing w:line="240" w:lineRule="auto"/>
        <w:jc w:val="center"/>
        <w:rPr>
          <w:rFonts w:ascii="Arial Black" w:hAnsi="Arial Black"/>
          <w:b/>
          <w:bCs/>
        </w:rPr>
      </w:pPr>
      <w:r w:rsidRPr="009B5640">
        <w:rPr>
          <w:rFonts w:ascii="Arial Black" w:hAnsi="Arial Black"/>
          <w:b/>
          <w:bCs/>
        </w:rPr>
        <w:t>Resolución de Superintendencia</w:t>
      </w:r>
    </w:p>
    <w:p w14:paraId="0B07FF9C" w14:textId="77777777" w:rsidR="00533F29" w:rsidRPr="009B5640" w:rsidRDefault="00533F29" w:rsidP="009B5640">
      <w:pPr>
        <w:pStyle w:val="Ttulo1"/>
        <w:spacing w:line="240" w:lineRule="auto"/>
        <w:jc w:val="center"/>
        <w:rPr>
          <w:rFonts w:ascii="Arial Black" w:hAnsi="Arial Black"/>
          <w:b/>
          <w:bCs/>
        </w:rPr>
      </w:pPr>
      <w:proofErr w:type="spellStart"/>
      <w:r w:rsidRPr="009B5640">
        <w:rPr>
          <w:rFonts w:ascii="Arial Black" w:hAnsi="Arial Black"/>
          <w:b/>
          <w:bCs/>
        </w:rPr>
        <w:t>N°</w:t>
      </w:r>
      <w:proofErr w:type="spellEnd"/>
      <w:r w:rsidRPr="009B5640">
        <w:rPr>
          <w:rFonts w:ascii="Arial Black" w:hAnsi="Arial Black"/>
          <w:b/>
          <w:bCs/>
        </w:rPr>
        <w:t xml:space="preserve"> 141-2016-SUNAFIL</w:t>
      </w:r>
    </w:p>
    <w:p w14:paraId="4CE5C83C" w14:textId="77777777" w:rsidR="00533F29" w:rsidRPr="009B5640" w:rsidRDefault="00533F29" w:rsidP="009B5640">
      <w:pPr>
        <w:widowControl w:val="0"/>
        <w:pBdr>
          <w:top w:val="nil"/>
          <w:left w:val="nil"/>
          <w:bottom w:val="nil"/>
          <w:right w:val="nil"/>
          <w:between w:val="nil"/>
        </w:pBdr>
        <w:spacing w:before="149" w:line="360" w:lineRule="auto"/>
        <w:ind w:left="406" w:hanging="264"/>
        <w:rPr>
          <w:color w:val="231F20"/>
          <w:sz w:val="24"/>
          <w:szCs w:val="24"/>
        </w:rPr>
      </w:pPr>
      <w:r w:rsidRPr="009B5640">
        <w:rPr>
          <w:color w:val="231F20"/>
          <w:sz w:val="24"/>
          <w:szCs w:val="24"/>
        </w:rPr>
        <w:t xml:space="preserve">Lima, 12 de diciembre de 2016 </w:t>
      </w:r>
    </w:p>
    <w:p w14:paraId="263F77FC" w14:textId="77777777" w:rsidR="00533F29" w:rsidRPr="009B5640" w:rsidRDefault="00533F29" w:rsidP="009B5640">
      <w:pPr>
        <w:widowControl w:val="0"/>
        <w:pBdr>
          <w:top w:val="nil"/>
          <w:left w:val="nil"/>
          <w:bottom w:val="nil"/>
          <w:right w:val="nil"/>
          <w:between w:val="nil"/>
        </w:pBdr>
        <w:spacing w:before="149" w:line="360" w:lineRule="auto"/>
        <w:ind w:left="395" w:hanging="264"/>
        <w:rPr>
          <w:color w:val="231F20"/>
          <w:sz w:val="24"/>
          <w:szCs w:val="24"/>
        </w:rPr>
      </w:pPr>
      <w:r w:rsidRPr="009B5640">
        <w:rPr>
          <w:color w:val="231F20"/>
          <w:sz w:val="24"/>
          <w:szCs w:val="24"/>
        </w:rPr>
        <w:t xml:space="preserve">VISTOS: </w:t>
      </w:r>
    </w:p>
    <w:p w14:paraId="6BEAD310" w14:textId="77777777" w:rsidR="00533F29" w:rsidRPr="009B5640" w:rsidRDefault="00533F29" w:rsidP="009B5640">
      <w:pPr>
        <w:widowControl w:val="0"/>
        <w:pBdr>
          <w:top w:val="nil"/>
          <w:left w:val="nil"/>
          <w:bottom w:val="nil"/>
          <w:right w:val="nil"/>
          <w:between w:val="nil"/>
        </w:pBdr>
        <w:spacing w:before="149" w:line="360" w:lineRule="auto"/>
        <w:ind w:left="148" w:right="14" w:firstLine="259"/>
        <w:jc w:val="both"/>
        <w:rPr>
          <w:color w:val="231F20"/>
          <w:sz w:val="24"/>
          <w:szCs w:val="24"/>
        </w:rPr>
      </w:pPr>
      <w:r w:rsidRPr="009B5640">
        <w:rPr>
          <w:color w:val="231F20"/>
          <w:sz w:val="24"/>
          <w:szCs w:val="24"/>
        </w:rPr>
        <w:t xml:space="preserve">El Informe </w:t>
      </w:r>
      <w:proofErr w:type="spellStart"/>
      <w:r w:rsidRPr="009B5640">
        <w:rPr>
          <w:color w:val="231F20"/>
          <w:sz w:val="24"/>
          <w:szCs w:val="24"/>
        </w:rPr>
        <w:t>N°</w:t>
      </w:r>
      <w:proofErr w:type="spellEnd"/>
      <w:r w:rsidRPr="009B5640">
        <w:rPr>
          <w:color w:val="231F20"/>
          <w:sz w:val="24"/>
          <w:szCs w:val="24"/>
        </w:rPr>
        <w:t xml:space="preserve"> 174-2016-SUNAFIL/INII de la Intendencia Nacional de Inteligencia </w:t>
      </w:r>
      <w:proofErr w:type="spellStart"/>
      <w:r w:rsidRPr="009B5640">
        <w:rPr>
          <w:color w:val="231F20"/>
          <w:sz w:val="24"/>
          <w:szCs w:val="24"/>
        </w:rPr>
        <w:t>Inspectiva</w:t>
      </w:r>
      <w:proofErr w:type="spellEnd"/>
      <w:r w:rsidRPr="009B5640">
        <w:rPr>
          <w:color w:val="231F20"/>
          <w:sz w:val="24"/>
          <w:szCs w:val="24"/>
        </w:rPr>
        <w:t xml:space="preserve">, el Memorándum </w:t>
      </w:r>
      <w:proofErr w:type="spellStart"/>
      <w:r w:rsidRPr="009B5640">
        <w:rPr>
          <w:color w:val="231F20"/>
          <w:sz w:val="24"/>
          <w:szCs w:val="24"/>
        </w:rPr>
        <w:t>N°</w:t>
      </w:r>
      <w:proofErr w:type="spellEnd"/>
      <w:r w:rsidRPr="009B5640">
        <w:rPr>
          <w:color w:val="231F20"/>
          <w:sz w:val="24"/>
          <w:szCs w:val="24"/>
        </w:rPr>
        <w:t xml:space="preserve"> 700-2016-SUNAFIL/OGPP de la Oficina General de Planeamiento y Presupuesto y el Acta de Reunión </w:t>
      </w:r>
      <w:proofErr w:type="spellStart"/>
      <w:r w:rsidRPr="009B5640">
        <w:rPr>
          <w:color w:val="231F20"/>
          <w:sz w:val="24"/>
          <w:szCs w:val="24"/>
        </w:rPr>
        <w:t>N°</w:t>
      </w:r>
      <w:proofErr w:type="spellEnd"/>
      <w:r w:rsidRPr="009B5640">
        <w:rPr>
          <w:color w:val="231F20"/>
          <w:sz w:val="24"/>
          <w:szCs w:val="24"/>
        </w:rPr>
        <w:t xml:space="preserve"> 010-2016-SUNAFIL/INII, y; </w:t>
      </w:r>
    </w:p>
    <w:p w14:paraId="2AB008D2" w14:textId="77777777" w:rsidR="00533F29" w:rsidRPr="009B5640" w:rsidRDefault="00533F29" w:rsidP="009B5640">
      <w:pPr>
        <w:widowControl w:val="0"/>
        <w:pBdr>
          <w:top w:val="nil"/>
          <w:left w:val="nil"/>
          <w:bottom w:val="nil"/>
          <w:right w:val="nil"/>
          <w:between w:val="nil"/>
        </w:pBdr>
        <w:spacing w:before="169" w:line="360" w:lineRule="auto"/>
        <w:ind w:left="402"/>
        <w:rPr>
          <w:color w:val="231F20"/>
          <w:sz w:val="24"/>
          <w:szCs w:val="24"/>
        </w:rPr>
      </w:pPr>
      <w:r w:rsidRPr="009B5640">
        <w:rPr>
          <w:color w:val="231F20"/>
          <w:sz w:val="24"/>
          <w:szCs w:val="24"/>
        </w:rPr>
        <w:t xml:space="preserve">CONSIDERANDO: </w:t>
      </w:r>
    </w:p>
    <w:p w14:paraId="3E4F2B71" w14:textId="77777777" w:rsidR="00533F29" w:rsidRPr="009B5640" w:rsidRDefault="00533F29" w:rsidP="009B5640">
      <w:pPr>
        <w:widowControl w:val="0"/>
        <w:pBdr>
          <w:top w:val="nil"/>
          <w:left w:val="nil"/>
          <w:bottom w:val="nil"/>
          <w:right w:val="nil"/>
          <w:between w:val="nil"/>
        </w:pBdr>
        <w:spacing w:before="101" w:line="360" w:lineRule="auto"/>
        <w:ind w:left="145" w:right="14" w:firstLine="256"/>
        <w:jc w:val="both"/>
        <w:rPr>
          <w:color w:val="231F20"/>
          <w:sz w:val="24"/>
          <w:szCs w:val="24"/>
        </w:rPr>
      </w:pPr>
      <w:r w:rsidRPr="009B5640">
        <w:rPr>
          <w:color w:val="231F20"/>
          <w:sz w:val="24"/>
          <w:szCs w:val="24"/>
        </w:rPr>
        <w:t xml:space="preserve">Que, el artículo 7 de la Constitución Política del Perú dispone que la persona incapacitada, para velar por sí misma a causa de una deficiencia física o mental, tiene derecho al respeto de su dignidad y a un régimen legal de protección, atención, readaptación y seguridad; </w:t>
      </w:r>
    </w:p>
    <w:p w14:paraId="7E426F01" w14:textId="77777777" w:rsidR="00533F29" w:rsidRPr="009B5640" w:rsidRDefault="00533F29" w:rsidP="009B5640">
      <w:pPr>
        <w:widowControl w:val="0"/>
        <w:pBdr>
          <w:top w:val="nil"/>
          <w:left w:val="nil"/>
          <w:bottom w:val="nil"/>
          <w:right w:val="nil"/>
          <w:between w:val="nil"/>
        </w:pBdr>
        <w:spacing w:before="1" w:line="360" w:lineRule="auto"/>
        <w:ind w:left="144" w:right="14" w:firstLine="256"/>
        <w:jc w:val="both"/>
        <w:rPr>
          <w:color w:val="231F20"/>
          <w:sz w:val="24"/>
          <w:szCs w:val="24"/>
        </w:rPr>
      </w:pPr>
    </w:p>
    <w:p w14:paraId="55A97B37" w14:textId="77777777" w:rsidR="00533F29" w:rsidRPr="009B5640" w:rsidRDefault="00533F29" w:rsidP="009B5640">
      <w:pPr>
        <w:widowControl w:val="0"/>
        <w:pBdr>
          <w:top w:val="nil"/>
          <w:left w:val="nil"/>
          <w:bottom w:val="nil"/>
          <w:right w:val="nil"/>
          <w:between w:val="nil"/>
        </w:pBdr>
        <w:spacing w:before="1" w:line="360" w:lineRule="auto"/>
        <w:ind w:left="144" w:right="14" w:firstLine="256"/>
        <w:jc w:val="both"/>
        <w:rPr>
          <w:color w:val="231F20"/>
          <w:sz w:val="24"/>
          <w:szCs w:val="24"/>
        </w:rPr>
      </w:pPr>
      <w:r w:rsidRPr="009B5640">
        <w:rPr>
          <w:color w:val="231F20"/>
          <w:sz w:val="24"/>
          <w:szCs w:val="24"/>
        </w:rPr>
        <w:t xml:space="preserve">Que, el artículo 23 de la Constitución Política del Perú prevé que el trabajo, en sus diversas modalidades, es objeto de atención prioritaria del Estado, el cual protege especialmente a la madre, al menor de edad y al impedido que trabajan; </w:t>
      </w:r>
    </w:p>
    <w:p w14:paraId="61E8BE93" w14:textId="77777777" w:rsidR="00533F29" w:rsidRPr="009B5640" w:rsidRDefault="00533F29" w:rsidP="009B5640">
      <w:pPr>
        <w:widowControl w:val="0"/>
        <w:pBdr>
          <w:top w:val="nil"/>
          <w:left w:val="nil"/>
          <w:bottom w:val="nil"/>
          <w:right w:val="nil"/>
          <w:between w:val="nil"/>
        </w:pBdr>
        <w:spacing w:before="1" w:line="360" w:lineRule="auto"/>
        <w:ind w:left="145" w:right="14" w:firstLine="256"/>
        <w:jc w:val="both"/>
        <w:rPr>
          <w:color w:val="231F20"/>
          <w:sz w:val="24"/>
          <w:szCs w:val="24"/>
        </w:rPr>
      </w:pPr>
    </w:p>
    <w:p w14:paraId="38E40630" w14:textId="77777777" w:rsidR="00533F29" w:rsidRPr="009B5640" w:rsidRDefault="00533F29" w:rsidP="009B5640">
      <w:pPr>
        <w:widowControl w:val="0"/>
        <w:pBdr>
          <w:top w:val="nil"/>
          <w:left w:val="nil"/>
          <w:bottom w:val="nil"/>
          <w:right w:val="nil"/>
          <w:between w:val="nil"/>
        </w:pBdr>
        <w:spacing w:before="1" w:line="360" w:lineRule="auto"/>
        <w:ind w:left="145" w:right="14" w:firstLine="256"/>
        <w:jc w:val="both"/>
        <w:rPr>
          <w:color w:val="231F20"/>
          <w:sz w:val="24"/>
          <w:szCs w:val="24"/>
        </w:rPr>
      </w:pPr>
      <w:r w:rsidRPr="009B5640">
        <w:rPr>
          <w:color w:val="231F20"/>
          <w:sz w:val="24"/>
          <w:szCs w:val="24"/>
        </w:rPr>
        <w:t xml:space="preserve">Que, el inciso 1 del artículo 26 de la Constitución Política del Perú dispone que en la relación laboral se respeta el Principio de Igualdad de Oportunidades sin discriminación; </w:t>
      </w:r>
    </w:p>
    <w:p w14:paraId="1ECE31C9" w14:textId="77777777" w:rsidR="00533F29" w:rsidRPr="009B5640" w:rsidRDefault="00533F29" w:rsidP="009B5640">
      <w:pPr>
        <w:widowControl w:val="0"/>
        <w:pBdr>
          <w:top w:val="nil"/>
          <w:left w:val="nil"/>
          <w:bottom w:val="nil"/>
          <w:right w:val="nil"/>
          <w:between w:val="nil"/>
        </w:pBdr>
        <w:spacing w:before="1" w:line="360" w:lineRule="auto"/>
        <w:ind w:left="142" w:right="14" w:firstLine="259"/>
        <w:jc w:val="both"/>
        <w:rPr>
          <w:color w:val="231F20"/>
          <w:sz w:val="24"/>
          <w:szCs w:val="24"/>
        </w:rPr>
      </w:pPr>
    </w:p>
    <w:p w14:paraId="6758B765" w14:textId="77777777" w:rsidR="00533F29" w:rsidRPr="009B5640" w:rsidRDefault="00533F29" w:rsidP="009B5640">
      <w:pPr>
        <w:widowControl w:val="0"/>
        <w:pBdr>
          <w:top w:val="nil"/>
          <w:left w:val="nil"/>
          <w:bottom w:val="nil"/>
          <w:right w:val="nil"/>
          <w:between w:val="nil"/>
        </w:pBdr>
        <w:spacing w:before="1" w:line="360" w:lineRule="auto"/>
        <w:ind w:left="142" w:right="14" w:firstLine="259"/>
        <w:jc w:val="both"/>
        <w:rPr>
          <w:color w:val="231F20"/>
          <w:sz w:val="24"/>
          <w:szCs w:val="24"/>
        </w:rPr>
      </w:pPr>
      <w:r w:rsidRPr="009B5640">
        <w:rPr>
          <w:color w:val="231F20"/>
          <w:sz w:val="24"/>
          <w:szCs w:val="24"/>
        </w:rPr>
        <w:t xml:space="preserve">Que, el Convenio </w:t>
      </w:r>
      <w:proofErr w:type="spellStart"/>
      <w:r w:rsidRPr="009B5640">
        <w:rPr>
          <w:color w:val="231F20"/>
          <w:sz w:val="24"/>
          <w:szCs w:val="24"/>
        </w:rPr>
        <w:t>N°</w:t>
      </w:r>
      <w:proofErr w:type="spellEnd"/>
      <w:r w:rsidRPr="009B5640">
        <w:rPr>
          <w:color w:val="231F20"/>
          <w:sz w:val="24"/>
          <w:szCs w:val="24"/>
        </w:rPr>
        <w:t xml:space="preserve"> 111 de la Organización  Internacional del Trabajo - OIT, relativo a la discriminación  en materia de empleo y ocupación, aprobado y ratificado  por el Estado Peruano, señala que todo Miembro, para el  cual este Convenio se halle en vigor, se obliga a formular  y llevar a cabo una política nacional que promueva, por  métodos adecuados a las condiciones y a la práctica  nacionales, la igualdad de oportunidades y de trato en  materia de empleo y ocupación, con objeto de eliminar  cualquier discriminación a este respecto; </w:t>
      </w:r>
    </w:p>
    <w:p w14:paraId="5180938E" w14:textId="77777777" w:rsidR="00533F29" w:rsidRPr="009B5640" w:rsidRDefault="00533F29" w:rsidP="009B5640">
      <w:pPr>
        <w:spacing w:line="360" w:lineRule="auto"/>
        <w:rPr>
          <w:color w:val="231F20"/>
          <w:sz w:val="24"/>
          <w:szCs w:val="24"/>
        </w:rPr>
      </w:pPr>
    </w:p>
    <w:p w14:paraId="4CA97DB6" w14:textId="77777777" w:rsidR="00533F29" w:rsidRPr="009B5640" w:rsidRDefault="00533F29" w:rsidP="009B5640">
      <w:pPr>
        <w:widowControl w:val="0"/>
        <w:pBdr>
          <w:top w:val="nil"/>
          <w:left w:val="nil"/>
          <w:bottom w:val="nil"/>
          <w:right w:val="nil"/>
          <w:between w:val="nil"/>
        </w:pBdr>
        <w:spacing w:before="56" w:line="360" w:lineRule="auto"/>
        <w:ind w:left="3" w:right="155" w:firstLine="5"/>
        <w:jc w:val="both"/>
        <w:rPr>
          <w:color w:val="231F20"/>
          <w:sz w:val="24"/>
          <w:szCs w:val="24"/>
        </w:rPr>
      </w:pPr>
      <w:r w:rsidRPr="009B5640">
        <w:rPr>
          <w:color w:val="231F20"/>
          <w:sz w:val="24"/>
          <w:szCs w:val="24"/>
        </w:rPr>
        <w:t xml:space="preserve">Que, el Convenio </w:t>
      </w:r>
      <w:proofErr w:type="spellStart"/>
      <w:r w:rsidRPr="009B5640">
        <w:rPr>
          <w:color w:val="231F20"/>
          <w:sz w:val="24"/>
          <w:szCs w:val="24"/>
        </w:rPr>
        <w:t>N°</w:t>
      </w:r>
      <w:proofErr w:type="spellEnd"/>
      <w:r w:rsidRPr="009B5640">
        <w:rPr>
          <w:color w:val="231F20"/>
          <w:sz w:val="24"/>
          <w:szCs w:val="24"/>
        </w:rPr>
        <w:t xml:space="preserve"> 159 de la Organización Internacional del Trabajo - OIT, relativo a la readaptación profesional y el empleo de personas inválidas, aprobado y ratificado por el Estado Peruano, determina que las personas con discapacidad deberán disfrutar de igualdad de oportunidades y de trato en cuanto al acceso, la conservación y la promoción en un empleo que, siempre que sea posible, corresponda a su elección y a sus aptitudes individuales; </w:t>
      </w:r>
    </w:p>
    <w:p w14:paraId="1D4881C4" w14:textId="77777777" w:rsidR="00533F29" w:rsidRPr="009B5640" w:rsidRDefault="00533F29" w:rsidP="009B5640">
      <w:pPr>
        <w:widowControl w:val="0"/>
        <w:pBdr>
          <w:top w:val="nil"/>
          <w:left w:val="nil"/>
          <w:bottom w:val="nil"/>
          <w:right w:val="nil"/>
          <w:between w:val="nil"/>
        </w:pBdr>
        <w:spacing w:before="1" w:line="360" w:lineRule="auto"/>
        <w:ind w:left="4" w:right="155" w:firstLine="255"/>
        <w:jc w:val="both"/>
        <w:rPr>
          <w:color w:val="231F20"/>
          <w:sz w:val="24"/>
          <w:szCs w:val="24"/>
        </w:rPr>
      </w:pPr>
    </w:p>
    <w:p w14:paraId="01A6FD18" w14:textId="77777777" w:rsidR="00533F29" w:rsidRPr="009B5640" w:rsidRDefault="00533F29" w:rsidP="009B5640">
      <w:pPr>
        <w:widowControl w:val="0"/>
        <w:pBdr>
          <w:top w:val="nil"/>
          <w:left w:val="nil"/>
          <w:bottom w:val="nil"/>
          <w:right w:val="nil"/>
          <w:between w:val="nil"/>
        </w:pBdr>
        <w:spacing w:before="1" w:line="360" w:lineRule="auto"/>
        <w:ind w:left="4" w:right="155" w:firstLine="255"/>
        <w:jc w:val="both"/>
        <w:rPr>
          <w:color w:val="231F20"/>
          <w:sz w:val="24"/>
          <w:szCs w:val="24"/>
        </w:rPr>
      </w:pPr>
      <w:r w:rsidRPr="009B5640">
        <w:rPr>
          <w:color w:val="231F20"/>
          <w:sz w:val="24"/>
          <w:szCs w:val="24"/>
        </w:rPr>
        <w:lastRenderedPageBreak/>
        <w:t xml:space="preserve">Que, la Ley </w:t>
      </w:r>
      <w:proofErr w:type="spellStart"/>
      <w:r w:rsidRPr="009B5640">
        <w:rPr>
          <w:color w:val="231F20"/>
          <w:sz w:val="24"/>
          <w:szCs w:val="24"/>
        </w:rPr>
        <w:t>N°</w:t>
      </w:r>
      <w:proofErr w:type="spellEnd"/>
      <w:r w:rsidRPr="009B5640">
        <w:rPr>
          <w:color w:val="231F20"/>
          <w:sz w:val="24"/>
          <w:szCs w:val="24"/>
        </w:rPr>
        <w:t xml:space="preserve"> 29973, Ley General de la Persona con Discapacidad, tiene como finalidad establecer el marco legal para la promoción, protección y realización, en condiciones de igualdad, de los derechos de la persona con discapacidad, promoviendo su desarrollo e inclusión plena y efectiva en la vida política, económica, social, cultural y tecnológica; </w:t>
      </w:r>
    </w:p>
    <w:p w14:paraId="7E4840BB" w14:textId="77777777" w:rsidR="00533F29" w:rsidRPr="009B5640" w:rsidRDefault="00533F29" w:rsidP="009B5640">
      <w:pPr>
        <w:widowControl w:val="0"/>
        <w:pBdr>
          <w:top w:val="nil"/>
          <w:left w:val="nil"/>
          <w:bottom w:val="nil"/>
          <w:right w:val="nil"/>
          <w:between w:val="nil"/>
        </w:pBdr>
        <w:spacing w:before="1" w:line="360" w:lineRule="auto"/>
        <w:ind w:left="3" w:right="155" w:firstLine="256"/>
        <w:jc w:val="both"/>
        <w:rPr>
          <w:color w:val="231F20"/>
          <w:sz w:val="24"/>
          <w:szCs w:val="24"/>
        </w:rPr>
      </w:pPr>
    </w:p>
    <w:p w14:paraId="34E83CEC" w14:textId="77777777" w:rsidR="00533F29" w:rsidRPr="009B5640" w:rsidRDefault="00533F29" w:rsidP="009B5640">
      <w:pPr>
        <w:widowControl w:val="0"/>
        <w:pBdr>
          <w:top w:val="nil"/>
          <w:left w:val="nil"/>
          <w:bottom w:val="nil"/>
          <w:right w:val="nil"/>
          <w:between w:val="nil"/>
        </w:pBdr>
        <w:spacing w:before="1" w:line="360" w:lineRule="auto"/>
        <w:ind w:left="3" w:right="155" w:firstLine="256"/>
        <w:jc w:val="both"/>
        <w:rPr>
          <w:color w:val="231F20"/>
          <w:sz w:val="24"/>
          <w:szCs w:val="24"/>
        </w:rPr>
      </w:pPr>
      <w:r w:rsidRPr="009B5640">
        <w:rPr>
          <w:color w:val="231F20"/>
          <w:sz w:val="24"/>
          <w:szCs w:val="24"/>
        </w:rPr>
        <w:t xml:space="preserve">Que, el artículo 49 de la Ley </w:t>
      </w:r>
      <w:proofErr w:type="spellStart"/>
      <w:r w:rsidRPr="009B5640">
        <w:rPr>
          <w:color w:val="231F20"/>
          <w:sz w:val="24"/>
          <w:szCs w:val="24"/>
        </w:rPr>
        <w:t>N°</w:t>
      </w:r>
      <w:proofErr w:type="spellEnd"/>
      <w:r w:rsidRPr="009B5640">
        <w:rPr>
          <w:color w:val="231F20"/>
          <w:sz w:val="24"/>
          <w:szCs w:val="24"/>
        </w:rPr>
        <w:t xml:space="preserve"> 29973, Ley General de la Persona con Discapacidad, regula la obligación de las entidades públicas y empleadores privados de cumplir con una cuota de empleo de personas con discapacidad; </w:t>
      </w:r>
    </w:p>
    <w:p w14:paraId="4C75F9D5" w14:textId="77777777" w:rsidR="00533F29" w:rsidRPr="009B5640" w:rsidRDefault="00533F29" w:rsidP="009B5640">
      <w:pPr>
        <w:widowControl w:val="0"/>
        <w:pBdr>
          <w:top w:val="nil"/>
          <w:left w:val="nil"/>
          <w:bottom w:val="nil"/>
          <w:right w:val="nil"/>
          <w:between w:val="nil"/>
        </w:pBdr>
        <w:spacing w:before="1" w:line="360" w:lineRule="auto"/>
        <w:ind w:left="3" w:right="155" w:firstLine="256"/>
        <w:jc w:val="both"/>
        <w:rPr>
          <w:color w:val="231F20"/>
          <w:sz w:val="24"/>
          <w:szCs w:val="24"/>
        </w:rPr>
      </w:pPr>
    </w:p>
    <w:p w14:paraId="64FE40E2" w14:textId="77777777" w:rsidR="00533F29" w:rsidRPr="009B5640" w:rsidRDefault="00533F29" w:rsidP="009B5640">
      <w:pPr>
        <w:widowControl w:val="0"/>
        <w:pBdr>
          <w:top w:val="nil"/>
          <w:left w:val="nil"/>
          <w:bottom w:val="nil"/>
          <w:right w:val="nil"/>
          <w:between w:val="nil"/>
        </w:pBdr>
        <w:spacing w:before="1" w:line="360" w:lineRule="auto"/>
        <w:ind w:left="3" w:right="155" w:firstLine="256"/>
        <w:jc w:val="both"/>
        <w:rPr>
          <w:color w:val="231F20"/>
          <w:sz w:val="24"/>
          <w:szCs w:val="24"/>
        </w:rPr>
      </w:pPr>
      <w:r w:rsidRPr="009B5640">
        <w:rPr>
          <w:color w:val="231F20"/>
          <w:sz w:val="24"/>
          <w:szCs w:val="24"/>
        </w:rPr>
        <w:t xml:space="preserve">Que, la Sexta Disposición Complementaria Final de la Ley </w:t>
      </w:r>
      <w:proofErr w:type="spellStart"/>
      <w:r w:rsidRPr="009B5640">
        <w:rPr>
          <w:color w:val="231F20"/>
          <w:sz w:val="24"/>
          <w:szCs w:val="24"/>
        </w:rPr>
        <w:t>N°</w:t>
      </w:r>
      <w:proofErr w:type="spellEnd"/>
      <w:r w:rsidRPr="009B5640">
        <w:rPr>
          <w:color w:val="231F20"/>
          <w:sz w:val="24"/>
          <w:szCs w:val="24"/>
        </w:rPr>
        <w:t xml:space="preserve"> 29973, Ley General de la Persona con Discapacidad, dispone que el incumplimiento de la cuota laboral establecida en el artículo 49 por parte de los empleadores privados, después de dos años de la entrada en vigencia de la Ley, da lugar al establecimiento de las sanciones contempladas en la Ley </w:t>
      </w:r>
      <w:proofErr w:type="spellStart"/>
      <w:r w:rsidRPr="009B5640">
        <w:rPr>
          <w:color w:val="231F20"/>
          <w:sz w:val="24"/>
          <w:szCs w:val="24"/>
        </w:rPr>
        <w:t>N°</w:t>
      </w:r>
      <w:proofErr w:type="spellEnd"/>
      <w:r w:rsidRPr="009B5640">
        <w:rPr>
          <w:color w:val="231F20"/>
          <w:sz w:val="24"/>
          <w:szCs w:val="24"/>
        </w:rPr>
        <w:t xml:space="preserve"> 28806, Ley General de Inspección del Trabajo; </w:t>
      </w:r>
    </w:p>
    <w:p w14:paraId="090C1C82" w14:textId="77777777" w:rsidR="00533F29" w:rsidRPr="009B5640" w:rsidRDefault="00533F29" w:rsidP="009B5640">
      <w:pPr>
        <w:widowControl w:val="0"/>
        <w:pBdr>
          <w:top w:val="nil"/>
          <w:left w:val="nil"/>
          <w:bottom w:val="nil"/>
          <w:right w:val="nil"/>
          <w:between w:val="nil"/>
        </w:pBdr>
        <w:spacing w:before="1" w:line="360" w:lineRule="auto"/>
        <w:ind w:left="3" w:right="155" w:firstLine="256"/>
        <w:jc w:val="both"/>
        <w:rPr>
          <w:color w:val="231F20"/>
          <w:sz w:val="24"/>
          <w:szCs w:val="24"/>
        </w:rPr>
      </w:pPr>
    </w:p>
    <w:p w14:paraId="30AE6B1D" w14:textId="77777777" w:rsidR="00533F29" w:rsidRPr="009B5640" w:rsidRDefault="00533F29" w:rsidP="009B5640">
      <w:pPr>
        <w:widowControl w:val="0"/>
        <w:pBdr>
          <w:top w:val="nil"/>
          <w:left w:val="nil"/>
          <w:bottom w:val="nil"/>
          <w:right w:val="nil"/>
          <w:between w:val="nil"/>
        </w:pBdr>
        <w:spacing w:before="1" w:line="360" w:lineRule="auto"/>
        <w:ind w:left="3" w:right="155" w:firstLine="256"/>
        <w:jc w:val="both"/>
        <w:rPr>
          <w:color w:val="231F20"/>
          <w:sz w:val="24"/>
          <w:szCs w:val="24"/>
        </w:rPr>
      </w:pPr>
      <w:r w:rsidRPr="009B5640">
        <w:rPr>
          <w:color w:val="231F20"/>
          <w:sz w:val="24"/>
          <w:szCs w:val="24"/>
        </w:rPr>
        <w:t xml:space="preserve">Que, el artículo 56 del Reglamento de la Ley </w:t>
      </w:r>
      <w:proofErr w:type="spellStart"/>
      <w:r w:rsidRPr="009B5640">
        <w:rPr>
          <w:color w:val="231F20"/>
          <w:sz w:val="24"/>
          <w:szCs w:val="24"/>
        </w:rPr>
        <w:t>N°</w:t>
      </w:r>
      <w:proofErr w:type="spellEnd"/>
      <w:r w:rsidRPr="009B5640">
        <w:rPr>
          <w:color w:val="231F20"/>
          <w:sz w:val="24"/>
          <w:szCs w:val="24"/>
        </w:rPr>
        <w:t xml:space="preserve"> 29973, aprobado mediante Decreto Supremo </w:t>
      </w:r>
      <w:proofErr w:type="spellStart"/>
      <w:r w:rsidRPr="009B5640">
        <w:rPr>
          <w:color w:val="231F20"/>
          <w:sz w:val="24"/>
          <w:szCs w:val="24"/>
        </w:rPr>
        <w:t>N°</w:t>
      </w:r>
      <w:proofErr w:type="spellEnd"/>
      <w:r w:rsidRPr="009B5640">
        <w:rPr>
          <w:color w:val="231F20"/>
          <w:sz w:val="24"/>
          <w:szCs w:val="24"/>
        </w:rPr>
        <w:t xml:space="preserve"> 002-2014-MIMP, desarrolla las reglas para la aplicación de la cuota de empleo en el ámbito privado;  </w:t>
      </w:r>
    </w:p>
    <w:p w14:paraId="2E5000BE" w14:textId="77777777" w:rsidR="00533F29" w:rsidRPr="009B5640" w:rsidRDefault="00533F29" w:rsidP="009B5640">
      <w:pPr>
        <w:widowControl w:val="0"/>
        <w:pBdr>
          <w:top w:val="nil"/>
          <w:left w:val="nil"/>
          <w:bottom w:val="nil"/>
          <w:right w:val="nil"/>
          <w:between w:val="nil"/>
        </w:pBdr>
        <w:spacing w:before="1" w:line="360" w:lineRule="auto"/>
        <w:ind w:left="3" w:right="155" w:firstLine="256"/>
        <w:jc w:val="both"/>
        <w:rPr>
          <w:color w:val="231F20"/>
          <w:sz w:val="24"/>
          <w:szCs w:val="24"/>
        </w:rPr>
      </w:pPr>
    </w:p>
    <w:p w14:paraId="4E393E42" w14:textId="77777777" w:rsidR="00533F29" w:rsidRPr="009B5640" w:rsidRDefault="00533F29" w:rsidP="009B5640">
      <w:pPr>
        <w:widowControl w:val="0"/>
        <w:pBdr>
          <w:top w:val="nil"/>
          <w:left w:val="nil"/>
          <w:bottom w:val="nil"/>
          <w:right w:val="nil"/>
          <w:between w:val="nil"/>
        </w:pBdr>
        <w:spacing w:before="1" w:line="360" w:lineRule="auto"/>
        <w:ind w:left="3" w:right="155" w:firstLine="256"/>
        <w:jc w:val="both"/>
        <w:rPr>
          <w:color w:val="231F20"/>
          <w:sz w:val="24"/>
          <w:szCs w:val="24"/>
        </w:rPr>
      </w:pPr>
      <w:r w:rsidRPr="009B5640">
        <w:rPr>
          <w:color w:val="231F20"/>
          <w:sz w:val="24"/>
          <w:szCs w:val="24"/>
        </w:rPr>
        <w:t xml:space="preserve">Que, de acuerdo a la Sexta Disposición Complementaria Final del Reglamento de la Ley </w:t>
      </w:r>
      <w:proofErr w:type="spellStart"/>
      <w:r w:rsidRPr="009B5640">
        <w:rPr>
          <w:color w:val="231F20"/>
          <w:sz w:val="24"/>
          <w:szCs w:val="24"/>
        </w:rPr>
        <w:t>N°</w:t>
      </w:r>
      <w:proofErr w:type="spellEnd"/>
      <w:r w:rsidRPr="009B5640">
        <w:rPr>
          <w:color w:val="231F20"/>
          <w:sz w:val="24"/>
          <w:szCs w:val="24"/>
        </w:rPr>
        <w:t xml:space="preserve"> 29973, aprobado mediante Decreto Supremo </w:t>
      </w:r>
      <w:proofErr w:type="spellStart"/>
      <w:r w:rsidRPr="009B5640">
        <w:rPr>
          <w:color w:val="231F20"/>
          <w:sz w:val="24"/>
          <w:szCs w:val="24"/>
        </w:rPr>
        <w:t>N°</w:t>
      </w:r>
      <w:proofErr w:type="spellEnd"/>
      <w:r w:rsidRPr="009B5640">
        <w:rPr>
          <w:color w:val="231F20"/>
          <w:sz w:val="24"/>
          <w:szCs w:val="24"/>
        </w:rPr>
        <w:t xml:space="preserve"> 002-2014-MIMP, los criterios para la determinación de las empresas obligadas a cumplir con la cuota laboral en el sector privado, la base de cálculo y el número de trabajadores con discapacidad con los que deberán contar las empresas obligadas por Ley, serán fijados por el Ministerio de Trabajo y Promoción del Empleo; </w:t>
      </w:r>
    </w:p>
    <w:p w14:paraId="05163D87" w14:textId="77777777" w:rsidR="00533F29" w:rsidRPr="009B5640" w:rsidRDefault="00533F29" w:rsidP="009B5640">
      <w:pPr>
        <w:widowControl w:val="0"/>
        <w:pBdr>
          <w:top w:val="nil"/>
          <w:left w:val="nil"/>
          <w:bottom w:val="nil"/>
          <w:right w:val="nil"/>
          <w:between w:val="nil"/>
        </w:pBdr>
        <w:spacing w:before="1" w:line="360" w:lineRule="auto"/>
        <w:ind w:right="156" w:firstLine="260"/>
        <w:jc w:val="both"/>
        <w:rPr>
          <w:color w:val="231F20"/>
          <w:sz w:val="24"/>
          <w:szCs w:val="24"/>
        </w:rPr>
      </w:pPr>
    </w:p>
    <w:p w14:paraId="41430576" w14:textId="77777777" w:rsidR="00533F29" w:rsidRPr="009B5640" w:rsidRDefault="00533F29" w:rsidP="009B5640">
      <w:pPr>
        <w:widowControl w:val="0"/>
        <w:pBdr>
          <w:top w:val="nil"/>
          <w:left w:val="nil"/>
          <w:bottom w:val="nil"/>
          <w:right w:val="nil"/>
          <w:between w:val="nil"/>
        </w:pBdr>
        <w:spacing w:before="1" w:line="360" w:lineRule="auto"/>
        <w:ind w:right="156" w:firstLine="260"/>
        <w:jc w:val="both"/>
        <w:rPr>
          <w:color w:val="231F20"/>
          <w:sz w:val="24"/>
          <w:szCs w:val="24"/>
        </w:rPr>
      </w:pPr>
      <w:r w:rsidRPr="009B5640">
        <w:rPr>
          <w:color w:val="231F20"/>
          <w:sz w:val="24"/>
          <w:szCs w:val="24"/>
        </w:rPr>
        <w:t xml:space="preserve">Que, el Ministerio de Trabajo y Promoción del Empleo,  mediante la Resolución Ministerial </w:t>
      </w:r>
      <w:proofErr w:type="spellStart"/>
      <w:r w:rsidRPr="009B5640">
        <w:rPr>
          <w:color w:val="231F20"/>
          <w:sz w:val="24"/>
          <w:szCs w:val="24"/>
        </w:rPr>
        <w:t>N°</w:t>
      </w:r>
      <w:proofErr w:type="spellEnd"/>
      <w:r w:rsidRPr="009B5640">
        <w:rPr>
          <w:color w:val="231F20"/>
          <w:sz w:val="24"/>
          <w:szCs w:val="24"/>
        </w:rPr>
        <w:t xml:space="preserve"> 107-2015-TR, aprobó  la norma técnica, que tiene por objeto, establecer las normas  complementarias para regular la aplicación de la cuota de  empleo en el ámbito privado, así como la prestación de  servicios públicos de empleo y los procedimientos de  fiscalización y sanción que garanticen su cumplimiento en  el marco de lo establecido en la Ley </w:t>
      </w:r>
      <w:proofErr w:type="spellStart"/>
      <w:r w:rsidRPr="009B5640">
        <w:rPr>
          <w:color w:val="231F20"/>
          <w:sz w:val="24"/>
          <w:szCs w:val="24"/>
        </w:rPr>
        <w:t>Nº</w:t>
      </w:r>
      <w:proofErr w:type="spellEnd"/>
      <w:r w:rsidRPr="009B5640">
        <w:rPr>
          <w:color w:val="231F20"/>
          <w:sz w:val="24"/>
          <w:szCs w:val="24"/>
        </w:rPr>
        <w:t xml:space="preserve"> 29973, Ley General  de la Persona con Discapacidad, su Reglamento y los  instrumentos internacionales que informan su interpretación; </w:t>
      </w:r>
    </w:p>
    <w:p w14:paraId="43355A28" w14:textId="77777777" w:rsidR="00533F29" w:rsidRPr="009B5640" w:rsidRDefault="00533F29" w:rsidP="009B5640">
      <w:pPr>
        <w:widowControl w:val="0"/>
        <w:pBdr>
          <w:top w:val="nil"/>
          <w:left w:val="nil"/>
          <w:bottom w:val="nil"/>
          <w:right w:val="nil"/>
          <w:between w:val="nil"/>
        </w:pBdr>
        <w:spacing w:before="1" w:line="360" w:lineRule="auto"/>
        <w:ind w:left="4" w:right="155" w:firstLine="256"/>
        <w:rPr>
          <w:color w:val="231F20"/>
          <w:sz w:val="24"/>
          <w:szCs w:val="24"/>
        </w:rPr>
      </w:pPr>
    </w:p>
    <w:p w14:paraId="70D085A6" w14:textId="77777777" w:rsidR="00533F29" w:rsidRPr="009B5640" w:rsidRDefault="00533F29" w:rsidP="009B5640">
      <w:pPr>
        <w:widowControl w:val="0"/>
        <w:pBdr>
          <w:top w:val="nil"/>
          <w:left w:val="nil"/>
          <w:bottom w:val="nil"/>
          <w:right w:val="nil"/>
          <w:between w:val="nil"/>
        </w:pBdr>
        <w:spacing w:before="1" w:line="360" w:lineRule="auto"/>
        <w:ind w:left="4" w:right="155" w:firstLine="256"/>
        <w:rPr>
          <w:color w:val="231F20"/>
          <w:sz w:val="24"/>
          <w:szCs w:val="24"/>
        </w:rPr>
      </w:pPr>
      <w:r w:rsidRPr="009B5640">
        <w:rPr>
          <w:color w:val="231F20"/>
          <w:sz w:val="24"/>
          <w:szCs w:val="24"/>
        </w:rPr>
        <w:t xml:space="preserve">Que, mediante Ley </w:t>
      </w:r>
      <w:proofErr w:type="spellStart"/>
      <w:r w:rsidRPr="009B5640">
        <w:rPr>
          <w:color w:val="231F20"/>
          <w:sz w:val="24"/>
          <w:szCs w:val="24"/>
        </w:rPr>
        <w:t>N°</w:t>
      </w:r>
      <w:proofErr w:type="spellEnd"/>
      <w:r w:rsidRPr="009B5640">
        <w:rPr>
          <w:color w:val="231F20"/>
          <w:sz w:val="24"/>
          <w:szCs w:val="24"/>
        </w:rPr>
        <w:t xml:space="preserve"> 29981, se crea la Superintendencia Nacional de Fiscalización Laboral Sunafil, responsable de promover, supervisar y fiscalizar el cumplimiento del </w:t>
      </w:r>
      <w:r w:rsidRPr="009B5640">
        <w:rPr>
          <w:color w:val="231F20"/>
          <w:sz w:val="24"/>
          <w:szCs w:val="24"/>
        </w:rPr>
        <w:lastRenderedPageBreak/>
        <w:t xml:space="preserve">ordenamiento jurídico sociolaboral y el de seguridad y salud en el trabajo, así como brindar asesoría técnica, realizar investigaciones y proponer la emisión de normas sobre dichas materias; </w:t>
      </w:r>
    </w:p>
    <w:p w14:paraId="0AA41856" w14:textId="77777777" w:rsidR="00533F29" w:rsidRPr="009B5640" w:rsidRDefault="00533F29" w:rsidP="009B5640">
      <w:pPr>
        <w:widowControl w:val="0"/>
        <w:pBdr>
          <w:top w:val="nil"/>
          <w:left w:val="nil"/>
          <w:bottom w:val="nil"/>
          <w:right w:val="nil"/>
          <w:between w:val="nil"/>
        </w:pBdr>
        <w:spacing w:before="1" w:line="360" w:lineRule="auto"/>
        <w:ind w:right="155" w:firstLine="259"/>
        <w:jc w:val="both"/>
        <w:rPr>
          <w:color w:val="231F20"/>
          <w:sz w:val="24"/>
          <w:szCs w:val="24"/>
        </w:rPr>
      </w:pPr>
    </w:p>
    <w:p w14:paraId="5446456D" w14:textId="77777777" w:rsidR="00533F29" w:rsidRPr="009B5640" w:rsidRDefault="00533F29" w:rsidP="009B5640">
      <w:pPr>
        <w:widowControl w:val="0"/>
        <w:pBdr>
          <w:top w:val="nil"/>
          <w:left w:val="nil"/>
          <w:bottom w:val="nil"/>
          <w:right w:val="nil"/>
          <w:between w:val="nil"/>
        </w:pBdr>
        <w:spacing w:before="1" w:line="360" w:lineRule="auto"/>
        <w:ind w:right="155" w:firstLine="259"/>
        <w:jc w:val="both"/>
        <w:rPr>
          <w:color w:val="231F20"/>
          <w:sz w:val="24"/>
          <w:szCs w:val="24"/>
        </w:rPr>
      </w:pPr>
      <w:r w:rsidRPr="009B5640">
        <w:rPr>
          <w:color w:val="231F20"/>
          <w:sz w:val="24"/>
          <w:szCs w:val="24"/>
        </w:rPr>
        <w:t xml:space="preserve">Que, de conformidad con lo dispuesto en el artículo 18 de la Ley </w:t>
      </w:r>
      <w:proofErr w:type="spellStart"/>
      <w:r w:rsidRPr="009B5640">
        <w:rPr>
          <w:color w:val="231F20"/>
          <w:sz w:val="24"/>
          <w:szCs w:val="24"/>
        </w:rPr>
        <w:t>N°</w:t>
      </w:r>
      <w:proofErr w:type="spellEnd"/>
      <w:r w:rsidRPr="009B5640">
        <w:rPr>
          <w:color w:val="231F20"/>
          <w:sz w:val="24"/>
          <w:szCs w:val="24"/>
        </w:rPr>
        <w:t xml:space="preserve"> 29981, la Sunafil es la autoridad central y el ente rector del Sistema de Inspección del Trabajo a que se refiere la Ley </w:t>
      </w:r>
      <w:proofErr w:type="spellStart"/>
      <w:r w:rsidRPr="009B5640">
        <w:rPr>
          <w:color w:val="231F20"/>
          <w:sz w:val="24"/>
          <w:szCs w:val="24"/>
        </w:rPr>
        <w:t>N°</w:t>
      </w:r>
      <w:proofErr w:type="spellEnd"/>
      <w:r w:rsidRPr="009B5640">
        <w:rPr>
          <w:color w:val="231F20"/>
          <w:sz w:val="24"/>
          <w:szCs w:val="24"/>
        </w:rPr>
        <w:t xml:space="preserve"> 28806, Ley General de Inspección del Trabajo y en función de ello dicta normas y establece procedimientos para asegurar el cumplimiento de las políticas públicas en materia de su competencia; </w:t>
      </w:r>
    </w:p>
    <w:p w14:paraId="26E24A8E" w14:textId="77777777" w:rsidR="00533F29" w:rsidRPr="009B5640" w:rsidRDefault="00533F29" w:rsidP="009B5640">
      <w:pPr>
        <w:widowControl w:val="0"/>
        <w:pBdr>
          <w:top w:val="nil"/>
          <w:left w:val="nil"/>
          <w:bottom w:val="nil"/>
          <w:right w:val="nil"/>
          <w:between w:val="nil"/>
        </w:pBdr>
        <w:spacing w:before="1" w:line="360" w:lineRule="auto"/>
        <w:ind w:left="4" w:right="155" w:firstLine="255"/>
        <w:jc w:val="both"/>
        <w:rPr>
          <w:color w:val="231F20"/>
          <w:sz w:val="24"/>
          <w:szCs w:val="24"/>
        </w:rPr>
      </w:pPr>
    </w:p>
    <w:p w14:paraId="5252E8E6" w14:textId="77777777" w:rsidR="00533F29" w:rsidRPr="009B5640" w:rsidRDefault="00533F29" w:rsidP="009B5640">
      <w:pPr>
        <w:widowControl w:val="0"/>
        <w:pBdr>
          <w:top w:val="nil"/>
          <w:left w:val="nil"/>
          <w:bottom w:val="nil"/>
          <w:right w:val="nil"/>
          <w:between w:val="nil"/>
        </w:pBdr>
        <w:spacing w:before="1" w:line="360" w:lineRule="auto"/>
        <w:ind w:left="4" w:right="155" w:firstLine="255"/>
        <w:jc w:val="both"/>
        <w:rPr>
          <w:color w:val="231F20"/>
          <w:sz w:val="24"/>
          <w:szCs w:val="24"/>
        </w:rPr>
      </w:pPr>
      <w:r w:rsidRPr="009B5640">
        <w:rPr>
          <w:color w:val="231F20"/>
          <w:sz w:val="24"/>
          <w:szCs w:val="24"/>
        </w:rPr>
        <w:t xml:space="preserve">Que, el artículo 31 del Reglamento de Organización y Funciones de la Sunafil, aprobado por Decreto Supremo </w:t>
      </w:r>
      <w:proofErr w:type="spellStart"/>
      <w:r w:rsidRPr="009B5640">
        <w:rPr>
          <w:color w:val="231F20"/>
          <w:sz w:val="24"/>
          <w:szCs w:val="24"/>
        </w:rPr>
        <w:t>N°</w:t>
      </w:r>
      <w:proofErr w:type="spellEnd"/>
      <w:r w:rsidRPr="009B5640">
        <w:rPr>
          <w:color w:val="231F20"/>
          <w:sz w:val="24"/>
          <w:szCs w:val="24"/>
        </w:rPr>
        <w:t xml:space="preserve"> 007-2013-TR, modificado por Decreto Supremo </w:t>
      </w:r>
      <w:proofErr w:type="spellStart"/>
      <w:r w:rsidRPr="009B5640">
        <w:rPr>
          <w:color w:val="231F20"/>
          <w:sz w:val="24"/>
          <w:szCs w:val="24"/>
        </w:rPr>
        <w:t>N°</w:t>
      </w:r>
      <w:proofErr w:type="spellEnd"/>
      <w:r w:rsidRPr="009B5640">
        <w:rPr>
          <w:color w:val="231F20"/>
          <w:sz w:val="24"/>
          <w:szCs w:val="24"/>
        </w:rPr>
        <w:t xml:space="preserve"> 009-2013-TR, establece que la Intendencia Nacional de Inteligencia </w:t>
      </w:r>
      <w:proofErr w:type="spellStart"/>
      <w:r w:rsidRPr="009B5640">
        <w:rPr>
          <w:color w:val="231F20"/>
          <w:sz w:val="24"/>
          <w:szCs w:val="24"/>
        </w:rPr>
        <w:t>lnspectiva</w:t>
      </w:r>
      <w:proofErr w:type="spellEnd"/>
      <w:r w:rsidRPr="009B5640">
        <w:rPr>
          <w:color w:val="231F20"/>
          <w:sz w:val="24"/>
          <w:szCs w:val="24"/>
        </w:rPr>
        <w:t xml:space="preserve">, es un órgano con autoridad técnico </w:t>
      </w:r>
    </w:p>
    <w:p w14:paraId="51BDAC0D" w14:textId="77777777" w:rsidR="00533F29" w:rsidRPr="009B5640" w:rsidRDefault="00533F29" w:rsidP="009B5640">
      <w:pPr>
        <w:widowControl w:val="0"/>
        <w:pBdr>
          <w:top w:val="nil"/>
          <w:left w:val="nil"/>
          <w:bottom w:val="nil"/>
          <w:right w:val="nil"/>
          <w:between w:val="nil"/>
        </w:pBdr>
        <w:spacing w:before="1" w:line="360" w:lineRule="auto"/>
        <w:ind w:left="3" w:right="155" w:firstLine="5"/>
        <w:jc w:val="both"/>
        <w:rPr>
          <w:color w:val="231F20"/>
          <w:sz w:val="24"/>
          <w:szCs w:val="24"/>
        </w:rPr>
      </w:pPr>
      <w:r w:rsidRPr="009B5640">
        <w:rPr>
          <w:color w:val="231F20"/>
          <w:sz w:val="24"/>
          <w:szCs w:val="24"/>
        </w:rPr>
        <w:t xml:space="preserve">normativa a nivel nacional, responsable de elaborar y proponer la Política Institucional en materia de Inspección del Trabajo, así como los planes, normas y reglamentos; emite directivas, lineamientos y mecanismos; y establece los procedimientos en el marco de sus competencias; </w:t>
      </w:r>
    </w:p>
    <w:p w14:paraId="747E4929" w14:textId="77777777" w:rsidR="00533F29" w:rsidRPr="009B5640" w:rsidRDefault="00533F29" w:rsidP="009B5640">
      <w:pPr>
        <w:widowControl w:val="0"/>
        <w:pBdr>
          <w:top w:val="nil"/>
          <w:left w:val="nil"/>
          <w:bottom w:val="nil"/>
          <w:right w:val="nil"/>
          <w:between w:val="nil"/>
        </w:pBdr>
        <w:spacing w:before="1" w:line="360" w:lineRule="auto"/>
        <w:ind w:left="2" w:right="155" w:firstLine="257"/>
        <w:jc w:val="both"/>
        <w:rPr>
          <w:color w:val="231F20"/>
          <w:sz w:val="24"/>
          <w:szCs w:val="24"/>
        </w:rPr>
      </w:pPr>
    </w:p>
    <w:p w14:paraId="2BC98CF4" w14:textId="77777777" w:rsidR="00533F29" w:rsidRPr="009B5640" w:rsidRDefault="00533F29" w:rsidP="009B5640">
      <w:pPr>
        <w:widowControl w:val="0"/>
        <w:pBdr>
          <w:top w:val="nil"/>
          <w:left w:val="nil"/>
          <w:bottom w:val="nil"/>
          <w:right w:val="nil"/>
          <w:between w:val="nil"/>
        </w:pBdr>
        <w:spacing w:before="1" w:line="360" w:lineRule="auto"/>
        <w:ind w:left="2" w:right="155" w:firstLine="257"/>
        <w:jc w:val="both"/>
        <w:rPr>
          <w:color w:val="231F20"/>
          <w:sz w:val="24"/>
          <w:szCs w:val="24"/>
        </w:rPr>
      </w:pPr>
      <w:r w:rsidRPr="009B5640">
        <w:rPr>
          <w:color w:val="231F20"/>
          <w:sz w:val="24"/>
          <w:szCs w:val="24"/>
        </w:rPr>
        <w:t xml:space="preserve">Que, la Sunafil, mediante Resolución de  Superintendencia </w:t>
      </w:r>
      <w:proofErr w:type="spellStart"/>
      <w:r w:rsidRPr="009B5640">
        <w:rPr>
          <w:color w:val="231F20"/>
          <w:sz w:val="24"/>
          <w:szCs w:val="24"/>
        </w:rPr>
        <w:t>N°</w:t>
      </w:r>
      <w:proofErr w:type="spellEnd"/>
      <w:r w:rsidRPr="009B5640">
        <w:rPr>
          <w:color w:val="231F20"/>
          <w:sz w:val="24"/>
          <w:szCs w:val="24"/>
        </w:rPr>
        <w:t xml:space="preserve"> 063-2016-SUNAFIL, publicada en  el diario oficial “El Peruano”, con fecha 18 de mayo de  2016, dispuso la publicación en el Portal Institucional  (http://www.sunafil.gob.pe) del proyecto de “Protocolo de  Fiscalización del cumplimiento de la cuota de empleo para  personas con discapacidad aplicables a los empleadores  del sector privado”, elaborado por la Intendencia Nacional  de Inteligencia </w:t>
      </w:r>
      <w:proofErr w:type="spellStart"/>
      <w:r w:rsidRPr="009B5640">
        <w:rPr>
          <w:color w:val="231F20"/>
          <w:sz w:val="24"/>
          <w:szCs w:val="24"/>
        </w:rPr>
        <w:t>Inspectiva</w:t>
      </w:r>
      <w:proofErr w:type="spellEnd"/>
      <w:r w:rsidRPr="009B5640">
        <w:rPr>
          <w:color w:val="231F20"/>
          <w:sz w:val="24"/>
          <w:szCs w:val="24"/>
        </w:rPr>
        <w:t xml:space="preserve">, a fin que las personas  interesadas formulen comentarios a la propuesta; </w:t>
      </w:r>
    </w:p>
    <w:p w14:paraId="6E312536" w14:textId="77777777" w:rsidR="00533F29" w:rsidRPr="009B5640" w:rsidRDefault="00533F29" w:rsidP="009B5640">
      <w:pPr>
        <w:widowControl w:val="0"/>
        <w:pBdr>
          <w:top w:val="nil"/>
          <w:left w:val="nil"/>
          <w:bottom w:val="nil"/>
          <w:right w:val="nil"/>
          <w:between w:val="nil"/>
        </w:pBdr>
        <w:spacing w:line="360" w:lineRule="auto"/>
        <w:ind w:left="145" w:right="13" w:firstLine="256"/>
        <w:jc w:val="both"/>
        <w:rPr>
          <w:color w:val="231F20"/>
          <w:sz w:val="24"/>
          <w:szCs w:val="24"/>
        </w:rPr>
      </w:pPr>
    </w:p>
    <w:p w14:paraId="6E6D67C6" w14:textId="77777777" w:rsidR="00533F29" w:rsidRPr="009B5640" w:rsidRDefault="00533F29" w:rsidP="009B5640">
      <w:pPr>
        <w:widowControl w:val="0"/>
        <w:pBdr>
          <w:top w:val="nil"/>
          <w:left w:val="nil"/>
          <w:bottom w:val="nil"/>
          <w:right w:val="nil"/>
          <w:between w:val="nil"/>
        </w:pBdr>
        <w:spacing w:line="360" w:lineRule="auto"/>
        <w:ind w:left="145" w:right="13" w:firstLine="256"/>
        <w:jc w:val="both"/>
        <w:rPr>
          <w:color w:val="231F20"/>
          <w:sz w:val="24"/>
          <w:szCs w:val="24"/>
        </w:rPr>
      </w:pPr>
      <w:r w:rsidRPr="009B5640">
        <w:rPr>
          <w:color w:val="231F20"/>
          <w:sz w:val="24"/>
          <w:szCs w:val="24"/>
        </w:rPr>
        <w:t xml:space="preserve">Que, se llevó a cabo una reunión de trabajo con las áreas involucradas de la Sunafil, a fin de revisar los comentarios y/o sugerencias realizadas por la ciudadanía sobre el proyecto, cuyas incidencias se recogieron en el Acta </w:t>
      </w:r>
      <w:proofErr w:type="spellStart"/>
      <w:r w:rsidRPr="009B5640">
        <w:rPr>
          <w:color w:val="231F20"/>
          <w:sz w:val="24"/>
          <w:szCs w:val="24"/>
        </w:rPr>
        <w:t>N°</w:t>
      </w:r>
      <w:proofErr w:type="spellEnd"/>
      <w:r w:rsidRPr="009B5640">
        <w:rPr>
          <w:color w:val="231F20"/>
          <w:sz w:val="24"/>
          <w:szCs w:val="24"/>
        </w:rPr>
        <w:t xml:space="preserve"> 010-2016-SUNAFIL/INII de fecha 15 de junio del 2016; </w:t>
      </w:r>
    </w:p>
    <w:p w14:paraId="76330B24" w14:textId="77777777" w:rsidR="00533F29" w:rsidRPr="009B5640" w:rsidRDefault="00533F29" w:rsidP="009B5640">
      <w:pPr>
        <w:widowControl w:val="0"/>
        <w:pBdr>
          <w:top w:val="nil"/>
          <w:left w:val="nil"/>
          <w:bottom w:val="nil"/>
          <w:right w:val="nil"/>
          <w:between w:val="nil"/>
        </w:pBdr>
        <w:spacing w:before="1" w:line="360" w:lineRule="auto"/>
        <w:ind w:left="145" w:right="13" w:firstLine="256"/>
        <w:jc w:val="both"/>
        <w:rPr>
          <w:color w:val="231F20"/>
          <w:sz w:val="24"/>
          <w:szCs w:val="24"/>
        </w:rPr>
      </w:pPr>
    </w:p>
    <w:p w14:paraId="1F3F59CB" w14:textId="77777777" w:rsidR="00533F29" w:rsidRPr="009B5640" w:rsidRDefault="00533F29" w:rsidP="009B5640">
      <w:pPr>
        <w:widowControl w:val="0"/>
        <w:pBdr>
          <w:top w:val="nil"/>
          <w:left w:val="nil"/>
          <w:bottom w:val="nil"/>
          <w:right w:val="nil"/>
          <w:between w:val="nil"/>
        </w:pBdr>
        <w:spacing w:before="1" w:line="360" w:lineRule="auto"/>
        <w:ind w:left="145" w:right="13" w:firstLine="256"/>
        <w:jc w:val="both"/>
        <w:rPr>
          <w:color w:val="231F20"/>
          <w:sz w:val="24"/>
          <w:szCs w:val="24"/>
        </w:rPr>
      </w:pPr>
      <w:r w:rsidRPr="009B5640">
        <w:rPr>
          <w:color w:val="231F20"/>
          <w:sz w:val="24"/>
          <w:szCs w:val="24"/>
        </w:rPr>
        <w:t xml:space="preserve">Que, mediante el informe del visto, la Intendencia Nacional de Inteligencia </w:t>
      </w:r>
      <w:proofErr w:type="spellStart"/>
      <w:r w:rsidRPr="009B5640">
        <w:rPr>
          <w:color w:val="231F20"/>
          <w:sz w:val="24"/>
          <w:szCs w:val="24"/>
        </w:rPr>
        <w:t>Inspectiva</w:t>
      </w:r>
      <w:proofErr w:type="spellEnd"/>
      <w:r w:rsidRPr="009B5640">
        <w:rPr>
          <w:color w:val="231F20"/>
          <w:sz w:val="24"/>
          <w:szCs w:val="24"/>
        </w:rPr>
        <w:t xml:space="preserve">, opina que se apruebe el Protocolo denominado “Protocolo de Fiscalización del cumplimiento de la cuota de empleo para personas con discapacidad aplicables a los empleadores del sector privado” y sus anexos que forman parte del instrumento normativo; </w:t>
      </w:r>
    </w:p>
    <w:p w14:paraId="5C648202" w14:textId="77777777" w:rsidR="00533F29" w:rsidRPr="009B5640" w:rsidRDefault="00533F29" w:rsidP="009B5640">
      <w:pPr>
        <w:widowControl w:val="0"/>
        <w:pBdr>
          <w:top w:val="nil"/>
          <w:left w:val="nil"/>
          <w:bottom w:val="nil"/>
          <w:right w:val="nil"/>
          <w:between w:val="nil"/>
        </w:pBdr>
        <w:spacing w:before="1" w:line="360" w:lineRule="auto"/>
        <w:ind w:left="148" w:right="13" w:firstLine="254"/>
        <w:jc w:val="both"/>
        <w:rPr>
          <w:color w:val="231F20"/>
          <w:sz w:val="24"/>
          <w:szCs w:val="24"/>
        </w:rPr>
      </w:pPr>
    </w:p>
    <w:p w14:paraId="16DC6896" w14:textId="77777777" w:rsidR="00533F29" w:rsidRPr="009B5640" w:rsidRDefault="00533F29" w:rsidP="009B5640">
      <w:pPr>
        <w:widowControl w:val="0"/>
        <w:pBdr>
          <w:top w:val="nil"/>
          <w:left w:val="nil"/>
          <w:bottom w:val="nil"/>
          <w:right w:val="nil"/>
          <w:between w:val="nil"/>
        </w:pBdr>
        <w:spacing w:before="1" w:line="360" w:lineRule="auto"/>
        <w:ind w:left="148" w:right="13" w:firstLine="254"/>
        <w:jc w:val="both"/>
        <w:rPr>
          <w:color w:val="231F20"/>
          <w:sz w:val="24"/>
          <w:szCs w:val="24"/>
        </w:rPr>
      </w:pPr>
      <w:r w:rsidRPr="009B5640">
        <w:rPr>
          <w:color w:val="231F20"/>
          <w:sz w:val="24"/>
          <w:szCs w:val="24"/>
        </w:rPr>
        <w:t xml:space="preserve">Con el visado del </w:t>
      </w:r>
      <w:proofErr w:type="gramStart"/>
      <w:r w:rsidRPr="009B5640">
        <w:rPr>
          <w:color w:val="231F20"/>
          <w:sz w:val="24"/>
          <w:szCs w:val="24"/>
        </w:rPr>
        <w:t>Secretario General</w:t>
      </w:r>
      <w:proofErr w:type="gramEnd"/>
      <w:r w:rsidRPr="009B5640">
        <w:rPr>
          <w:color w:val="231F20"/>
          <w:sz w:val="24"/>
          <w:szCs w:val="24"/>
        </w:rPr>
        <w:t xml:space="preserve">, del Intendente Nacional de Inteligencia </w:t>
      </w:r>
      <w:proofErr w:type="spellStart"/>
      <w:r w:rsidRPr="009B5640">
        <w:rPr>
          <w:color w:val="231F20"/>
          <w:sz w:val="24"/>
          <w:szCs w:val="24"/>
        </w:rPr>
        <w:t>Inspectiva</w:t>
      </w:r>
      <w:proofErr w:type="spellEnd"/>
      <w:r w:rsidRPr="009B5640">
        <w:rPr>
          <w:color w:val="231F20"/>
          <w:sz w:val="24"/>
          <w:szCs w:val="24"/>
        </w:rPr>
        <w:t xml:space="preserve"> y de </w:t>
      </w:r>
      <w:r w:rsidRPr="009B5640">
        <w:rPr>
          <w:color w:val="231F20"/>
          <w:sz w:val="24"/>
          <w:szCs w:val="24"/>
        </w:rPr>
        <w:lastRenderedPageBreak/>
        <w:t>la</w:t>
      </w:r>
      <w:r w:rsidR="0059795A" w:rsidRPr="009B5640">
        <w:rPr>
          <w:color w:val="231F20"/>
          <w:sz w:val="24"/>
          <w:szCs w:val="24"/>
        </w:rPr>
        <w:t xml:space="preserve"> </w:t>
      </w:r>
      <w:r w:rsidRPr="009B5640">
        <w:rPr>
          <w:color w:val="231F20"/>
          <w:sz w:val="24"/>
          <w:szCs w:val="24"/>
        </w:rPr>
        <w:t>Jefa</w:t>
      </w:r>
      <w:r w:rsidR="0059795A" w:rsidRPr="009B5640">
        <w:rPr>
          <w:color w:val="231F20"/>
          <w:sz w:val="24"/>
          <w:szCs w:val="24"/>
        </w:rPr>
        <w:t xml:space="preserve"> </w:t>
      </w:r>
      <w:r w:rsidRPr="009B5640">
        <w:rPr>
          <w:color w:val="231F20"/>
          <w:sz w:val="24"/>
          <w:szCs w:val="24"/>
        </w:rPr>
        <w:t xml:space="preserve">de la Oficina General de Asesoría Jurídica; </w:t>
      </w:r>
    </w:p>
    <w:p w14:paraId="20A4FE83" w14:textId="77777777" w:rsidR="00533F29" w:rsidRPr="009B5640" w:rsidRDefault="00533F29" w:rsidP="009B5640">
      <w:pPr>
        <w:widowControl w:val="0"/>
        <w:pBdr>
          <w:top w:val="nil"/>
          <w:left w:val="nil"/>
          <w:bottom w:val="nil"/>
          <w:right w:val="nil"/>
          <w:between w:val="nil"/>
        </w:pBdr>
        <w:spacing w:before="1" w:line="360" w:lineRule="auto"/>
        <w:ind w:left="142" w:right="13" w:firstLine="264"/>
        <w:jc w:val="both"/>
        <w:rPr>
          <w:color w:val="231F20"/>
          <w:sz w:val="24"/>
          <w:szCs w:val="24"/>
        </w:rPr>
      </w:pPr>
    </w:p>
    <w:p w14:paraId="74C4AE05" w14:textId="77777777" w:rsidR="00533F29" w:rsidRPr="009B5640" w:rsidRDefault="00533F29" w:rsidP="009B5640">
      <w:pPr>
        <w:widowControl w:val="0"/>
        <w:pBdr>
          <w:top w:val="nil"/>
          <w:left w:val="nil"/>
          <w:bottom w:val="nil"/>
          <w:right w:val="nil"/>
          <w:between w:val="nil"/>
        </w:pBdr>
        <w:spacing w:before="1" w:line="360" w:lineRule="auto"/>
        <w:ind w:left="142" w:right="13" w:firstLine="264"/>
        <w:jc w:val="both"/>
        <w:rPr>
          <w:color w:val="231F20"/>
          <w:sz w:val="24"/>
          <w:szCs w:val="24"/>
        </w:rPr>
      </w:pPr>
      <w:r w:rsidRPr="009B5640">
        <w:rPr>
          <w:color w:val="231F20"/>
          <w:sz w:val="24"/>
          <w:szCs w:val="24"/>
        </w:rPr>
        <w:t xml:space="preserve">De conformidad con la Ley </w:t>
      </w:r>
      <w:proofErr w:type="spellStart"/>
      <w:r w:rsidRPr="009B5640">
        <w:rPr>
          <w:color w:val="231F20"/>
          <w:sz w:val="24"/>
          <w:szCs w:val="24"/>
        </w:rPr>
        <w:t>N°</w:t>
      </w:r>
      <w:proofErr w:type="spellEnd"/>
      <w:r w:rsidRPr="009B5640">
        <w:rPr>
          <w:color w:val="231F20"/>
          <w:sz w:val="24"/>
          <w:szCs w:val="24"/>
        </w:rPr>
        <w:t xml:space="preserve"> 29981, Ley que crea la Superintendencia Nacional de Fiscalización Laboral, y el</w:t>
      </w:r>
      <w:r w:rsidR="0059795A" w:rsidRPr="009B5640">
        <w:rPr>
          <w:color w:val="231F20"/>
          <w:sz w:val="24"/>
          <w:szCs w:val="24"/>
        </w:rPr>
        <w:t xml:space="preserve"> </w:t>
      </w:r>
      <w:r w:rsidRPr="009B5640">
        <w:rPr>
          <w:color w:val="231F20"/>
          <w:sz w:val="24"/>
          <w:szCs w:val="24"/>
        </w:rPr>
        <w:t xml:space="preserve">literal q) del artículo 11 del Reglamento de Organización y Funciones – ROF de la Superintendencia Nacional de Fiscalización Laboral, aprobado por Decreto Supremo </w:t>
      </w:r>
      <w:proofErr w:type="spellStart"/>
      <w:r w:rsidRPr="009B5640">
        <w:rPr>
          <w:color w:val="231F20"/>
          <w:sz w:val="24"/>
          <w:szCs w:val="24"/>
        </w:rPr>
        <w:t>N°</w:t>
      </w:r>
      <w:proofErr w:type="spellEnd"/>
      <w:r w:rsidRPr="009B5640">
        <w:rPr>
          <w:color w:val="231F20"/>
          <w:sz w:val="24"/>
          <w:szCs w:val="24"/>
        </w:rPr>
        <w:t xml:space="preserve"> 007-2013-TR y modificado con Decreto Supremo </w:t>
      </w:r>
      <w:proofErr w:type="spellStart"/>
      <w:r w:rsidRPr="009B5640">
        <w:rPr>
          <w:color w:val="231F20"/>
          <w:sz w:val="24"/>
          <w:szCs w:val="24"/>
        </w:rPr>
        <w:t>N°</w:t>
      </w:r>
      <w:proofErr w:type="spellEnd"/>
      <w:r w:rsidRPr="009B5640">
        <w:rPr>
          <w:color w:val="231F20"/>
          <w:sz w:val="24"/>
          <w:szCs w:val="24"/>
        </w:rPr>
        <w:t xml:space="preserve"> 009- </w:t>
      </w:r>
    </w:p>
    <w:p w14:paraId="3854EC21" w14:textId="77777777" w:rsidR="00533F29" w:rsidRPr="009B5640" w:rsidRDefault="00533F29" w:rsidP="009B5640">
      <w:pPr>
        <w:widowControl w:val="0"/>
        <w:pBdr>
          <w:top w:val="nil"/>
          <w:left w:val="nil"/>
          <w:bottom w:val="nil"/>
          <w:right w:val="nil"/>
          <w:between w:val="nil"/>
        </w:pBdr>
        <w:spacing w:before="1" w:line="360" w:lineRule="auto"/>
        <w:ind w:left="145"/>
        <w:rPr>
          <w:color w:val="231F20"/>
          <w:sz w:val="24"/>
          <w:szCs w:val="24"/>
        </w:rPr>
      </w:pPr>
      <w:r w:rsidRPr="009B5640">
        <w:rPr>
          <w:color w:val="231F20"/>
          <w:sz w:val="24"/>
          <w:szCs w:val="24"/>
        </w:rPr>
        <w:t xml:space="preserve">2013-TR;  </w:t>
      </w:r>
    </w:p>
    <w:p w14:paraId="495D3C4A" w14:textId="77777777" w:rsidR="009B5640" w:rsidRPr="009B5640" w:rsidRDefault="009B5640" w:rsidP="009B5640">
      <w:pPr>
        <w:widowControl w:val="0"/>
        <w:pBdr>
          <w:top w:val="nil"/>
          <w:left w:val="nil"/>
          <w:bottom w:val="nil"/>
          <w:right w:val="nil"/>
          <w:between w:val="nil"/>
        </w:pBdr>
        <w:spacing w:before="149" w:line="360" w:lineRule="auto"/>
        <w:ind w:left="402"/>
        <w:rPr>
          <w:color w:val="231F20"/>
          <w:sz w:val="24"/>
          <w:szCs w:val="24"/>
        </w:rPr>
        <w:sectPr w:rsidR="009B5640" w:rsidRPr="009B5640" w:rsidSect="009B5640">
          <w:pgSz w:w="11906" w:h="16838"/>
          <w:pgMar w:top="1134" w:right="851" w:bottom="1134" w:left="851" w:header="709" w:footer="709" w:gutter="0"/>
          <w:cols w:space="708"/>
          <w:docGrid w:linePitch="360"/>
        </w:sectPr>
      </w:pPr>
    </w:p>
    <w:p w14:paraId="2CF380A3" w14:textId="30946E6E" w:rsidR="00533F29" w:rsidRPr="009B5640" w:rsidRDefault="00533F29" w:rsidP="009B5640">
      <w:pPr>
        <w:widowControl w:val="0"/>
        <w:pBdr>
          <w:top w:val="nil"/>
          <w:left w:val="nil"/>
          <w:bottom w:val="nil"/>
          <w:right w:val="nil"/>
          <w:between w:val="nil"/>
        </w:pBdr>
        <w:spacing w:before="149" w:line="360" w:lineRule="auto"/>
        <w:ind w:left="402"/>
        <w:rPr>
          <w:color w:val="231F20"/>
          <w:sz w:val="24"/>
          <w:szCs w:val="24"/>
        </w:rPr>
      </w:pPr>
      <w:r w:rsidRPr="009B5640">
        <w:rPr>
          <w:color w:val="231F20"/>
          <w:sz w:val="24"/>
          <w:szCs w:val="24"/>
        </w:rPr>
        <w:t xml:space="preserve">SE RESUELVE: </w:t>
      </w:r>
    </w:p>
    <w:p w14:paraId="3DB05407" w14:textId="77777777" w:rsidR="009B5640" w:rsidRPr="009B5640" w:rsidRDefault="00533F29" w:rsidP="009B5640">
      <w:pPr>
        <w:widowControl w:val="0"/>
        <w:pBdr>
          <w:top w:val="nil"/>
          <w:left w:val="nil"/>
          <w:bottom w:val="nil"/>
          <w:right w:val="nil"/>
          <w:between w:val="nil"/>
        </w:pBdr>
        <w:spacing w:before="61" w:line="360" w:lineRule="auto"/>
        <w:ind w:left="145" w:right="13" w:firstLine="249"/>
        <w:jc w:val="both"/>
        <w:rPr>
          <w:color w:val="231F20"/>
          <w:sz w:val="24"/>
          <w:szCs w:val="24"/>
        </w:rPr>
        <w:sectPr w:rsidR="009B5640" w:rsidRPr="009B5640" w:rsidSect="009B5640">
          <w:type w:val="continuous"/>
          <w:pgSz w:w="11906" w:h="16838"/>
          <w:pgMar w:top="1134" w:right="851" w:bottom="1134" w:left="851" w:header="709" w:footer="709" w:gutter="0"/>
          <w:cols w:space="708"/>
          <w:docGrid w:linePitch="360"/>
        </w:sectPr>
      </w:pPr>
      <w:r w:rsidRPr="009B5640">
        <w:rPr>
          <w:b/>
          <w:color w:val="231F20"/>
          <w:sz w:val="24"/>
          <w:szCs w:val="24"/>
        </w:rPr>
        <w:t xml:space="preserve">Artículo 1.- </w:t>
      </w:r>
      <w:r w:rsidRPr="009B5640">
        <w:rPr>
          <w:color w:val="231F20"/>
          <w:sz w:val="24"/>
          <w:szCs w:val="24"/>
        </w:rPr>
        <w:t xml:space="preserve">APROBAR, el Protocolo </w:t>
      </w:r>
      <w:proofErr w:type="spellStart"/>
      <w:r w:rsidRPr="009B5640">
        <w:rPr>
          <w:color w:val="231F20"/>
          <w:sz w:val="24"/>
          <w:szCs w:val="24"/>
        </w:rPr>
        <w:t>N°</w:t>
      </w:r>
      <w:proofErr w:type="spellEnd"/>
      <w:r w:rsidRPr="009B5640">
        <w:rPr>
          <w:color w:val="231F20"/>
          <w:sz w:val="24"/>
          <w:szCs w:val="24"/>
        </w:rPr>
        <w:t xml:space="preserve"> 004-2016-</w:t>
      </w:r>
    </w:p>
    <w:p w14:paraId="149AAE1B" w14:textId="7BA9D72A" w:rsidR="00533F29" w:rsidRPr="009B5640" w:rsidRDefault="00533F29" w:rsidP="009B5640">
      <w:pPr>
        <w:widowControl w:val="0"/>
        <w:pBdr>
          <w:top w:val="nil"/>
          <w:left w:val="nil"/>
          <w:bottom w:val="nil"/>
          <w:right w:val="nil"/>
          <w:between w:val="nil"/>
        </w:pBdr>
        <w:spacing w:before="61" w:line="360" w:lineRule="auto"/>
        <w:ind w:left="145" w:right="13" w:firstLine="249"/>
        <w:jc w:val="both"/>
        <w:rPr>
          <w:color w:val="231F20"/>
          <w:sz w:val="24"/>
          <w:szCs w:val="24"/>
        </w:rPr>
      </w:pPr>
      <w:r w:rsidRPr="009B5640">
        <w:rPr>
          <w:color w:val="231F20"/>
          <w:sz w:val="24"/>
          <w:szCs w:val="24"/>
        </w:rPr>
        <w:t>SUNAFIL/INII denominado, “Protocolo</w:t>
      </w:r>
      <w:r w:rsidR="0059795A" w:rsidRPr="009B5640">
        <w:rPr>
          <w:color w:val="231F20"/>
          <w:sz w:val="24"/>
          <w:szCs w:val="24"/>
        </w:rPr>
        <w:t xml:space="preserve"> </w:t>
      </w:r>
      <w:r w:rsidRPr="009B5640">
        <w:rPr>
          <w:color w:val="231F20"/>
          <w:sz w:val="24"/>
          <w:szCs w:val="24"/>
        </w:rPr>
        <w:t xml:space="preserve">de Fiscalización de la cuota de empleo para personas con discapacidad aplicable a los empleadores del sector privado”, que en anexo adjunto forma parte integrante de la presente resolución. </w:t>
      </w:r>
    </w:p>
    <w:p w14:paraId="0D1600D4" w14:textId="77777777" w:rsidR="0059795A" w:rsidRPr="009B5640" w:rsidRDefault="0059795A" w:rsidP="009B5640">
      <w:pPr>
        <w:widowControl w:val="0"/>
        <w:pBdr>
          <w:top w:val="nil"/>
          <w:left w:val="nil"/>
          <w:bottom w:val="nil"/>
          <w:right w:val="nil"/>
          <w:between w:val="nil"/>
        </w:pBdr>
        <w:spacing w:before="1" w:line="360" w:lineRule="auto"/>
        <w:ind w:left="142" w:right="13" w:firstLine="252"/>
        <w:jc w:val="both"/>
        <w:rPr>
          <w:b/>
          <w:color w:val="231F20"/>
          <w:sz w:val="24"/>
          <w:szCs w:val="24"/>
        </w:rPr>
      </w:pPr>
    </w:p>
    <w:p w14:paraId="202A6F47" w14:textId="77777777" w:rsidR="00533F29" w:rsidRPr="009B5640" w:rsidRDefault="00533F29" w:rsidP="009B5640">
      <w:pPr>
        <w:widowControl w:val="0"/>
        <w:pBdr>
          <w:top w:val="nil"/>
          <w:left w:val="nil"/>
          <w:bottom w:val="nil"/>
          <w:right w:val="nil"/>
          <w:between w:val="nil"/>
        </w:pBdr>
        <w:spacing w:before="1" w:line="360" w:lineRule="auto"/>
        <w:ind w:left="142" w:right="13" w:firstLine="252"/>
        <w:jc w:val="both"/>
        <w:rPr>
          <w:color w:val="231F20"/>
          <w:sz w:val="24"/>
          <w:szCs w:val="24"/>
        </w:rPr>
      </w:pPr>
      <w:r w:rsidRPr="009B5640">
        <w:rPr>
          <w:b/>
          <w:color w:val="231F20"/>
          <w:sz w:val="24"/>
          <w:szCs w:val="24"/>
        </w:rPr>
        <w:t xml:space="preserve">Artículo 2.- </w:t>
      </w:r>
      <w:r w:rsidRPr="009B5640">
        <w:rPr>
          <w:color w:val="231F20"/>
          <w:sz w:val="24"/>
          <w:szCs w:val="24"/>
        </w:rPr>
        <w:t>DISPONER, que la presente resolución y su anexo se publiquen en el Portal Institucional de la Superintendencia Nacional de Fiscalización Laboral (www.sunafil.gob.pe) en la misma fecha de su publicació</w:t>
      </w:r>
      <w:r w:rsidR="0059795A" w:rsidRPr="009B5640">
        <w:rPr>
          <w:color w:val="231F20"/>
          <w:sz w:val="24"/>
          <w:szCs w:val="24"/>
        </w:rPr>
        <w:t>n</w:t>
      </w:r>
      <w:r w:rsidRPr="009B5640">
        <w:rPr>
          <w:color w:val="231F20"/>
          <w:sz w:val="24"/>
          <w:szCs w:val="24"/>
        </w:rPr>
        <w:t xml:space="preserve"> en el diario oficial El Peruano. </w:t>
      </w:r>
    </w:p>
    <w:p w14:paraId="16FBBB5B" w14:textId="77777777" w:rsidR="00533F29" w:rsidRPr="009B5640" w:rsidRDefault="00533F29" w:rsidP="009B5640">
      <w:pPr>
        <w:widowControl w:val="0"/>
        <w:pBdr>
          <w:top w:val="nil"/>
          <w:left w:val="nil"/>
          <w:bottom w:val="nil"/>
          <w:right w:val="nil"/>
          <w:between w:val="nil"/>
        </w:pBdr>
        <w:spacing w:before="169" w:line="360" w:lineRule="auto"/>
        <w:ind w:left="408"/>
        <w:rPr>
          <w:color w:val="231F20"/>
          <w:sz w:val="24"/>
          <w:szCs w:val="24"/>
        </w:rPr>
      </w:pPr>
      <w:r w:rsidRPr="009B5640">
        <w:rPr>
          <w:color w:val="231F20"/>
          <w:sz w:val="24"/>
          <w:szCs w:val="24"/>
        </w:rPr>
        <w:t xml:space="preserve">Regístrese, comuníquese y publíquese. </w:t>
      </w:r>
    </w:p>
    <w:p w14:paraId="524F4D40" w14:textId="77777777" w:rsidR="00533F29" w:rsidRPr="009B5640" w:rsidRDefault="00533F29" w:rsidP="009B5640">
      <w:pPr>
        <w:widowControl w:val="0"/>
        <w:pBdr>
          <w:top w:val="nil"/>
          <w:left w:val="nil"/>
          <w:bottom w:val="nil"/>
          <w:right w:val="nil"/>
          <w:between w:val="nil"/>
        </w:pBdr>
        <w:spacing w:before="149" w:line="360" w:lineRule="auto"/>
        <w:ind w:left="142"/>
        <w:rPr>
          <w:color w:val="231F20"/>
          <w:sz w:val="24"/>
          <w:szCs w:val="24"/>
        </w:rPr>
      </w:pPr>
      <w:r w:rsidRPr="009B5640">
        <w:rPr>
          <w:color w:val="231F20"/>
          <w:sz w:val="24"/>
          <w:szCs w:val="24"/>
        </w:rPr>
        <w:t xml:space="preserve">CARLOS ERNESTO BENITES SARAVIA </w:t>
      </w:r>
    </w:p>
    <w:p w14:paraId="47537D1F" w14:textId="77777777" w:rsidR="00864337" w:rsidRPr="009B5640" w:rsidRDefault="00533F29" w:rsidP="009B5640">
      <w:pPr>
        <w:spacing w:line="360" w:lineRule="auto"/>
        <w:ind w:left="142"/>
        <w:rPr>
          <w:sz w:val="24"/>
          <w:szCs w:val="24"/>
        </w:rPr>
      </w:pPr>
      <w:r w:rsidRPr="009B5640">
        <w:rPr>
          <w:color w:val="231F20"/>
          <w:sz w:val="24"/>
          <w:szCs w:val="24"/>
        </w:rPr>
        <w:t>Superintendente (e) Nacional de Fiscalización</w:t>
      </w:r>
    </w:p>
    <w:sectPr w:rsidR="00864337" w:rsidRPr="009B5640" w:rsidSect="009B5640">
      <w:type w:val="continuous"/>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29"/>
    <w:rsid w:val="00533F29"/>
    <w:rsid w:val="0059795A"/>
    <w:rsid w:val="005B34EB"/>
    <w:rsid w:val="00864337"/>
    <w:rsid w:val="009B56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E429"/>
  <w15:chartTrackingRefBased/>
  <w15:docId w15:val="{1075BAE0-4CA3-4CBA-9E28-C2C4E78A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29"/>
    <w:pPr>
      <w:spacing w:after="0" w:line="276" w:lineRule="auto"/>
    </w:pPr>
    <w:rPr>
      <w:rFonts w:ascii="Arial" w:eastAsia="Arial" w:hAnsi="Arial" w:cs="Arial"/>
      <w:lang w:eastAsia="es-PE"/>
    </w:rPr>
  </w:style>
  <w:style w:type="paragraph" w:styleId="Ttulo1">
    <w:name w:val="heading 1"/>
    <w:basedOn w:val="Normal"/>
    <w:next w:val="Normal"/>
    <w:link w:val="Ttulo1Car"/>
    <w:uiPriority w:val="9"/>
    <w:qFormat/>
    <w:rsid w:val="009B56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5640"/>
    <w:rPr>
      <w:rFonts w:asciiTheme="majorHAnsi" w:eastAsiaTheme="majorEastAsia" w:hAnsiTheme="majorHAnsi" w:cstheme="majorBidi"/>
      <w:color w:val="2F5496" w:themeColor="accent1" w:themeShade="BF"/>
      <w:sz w:val="32"/>
      <w:szCs w:val="3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4A72-21B2-42C7-8AFB-6DEF7804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Ana Maria Gutierrez Melgarejo</cp:lastModifiedBy>
  <cp:revision>4</cp:revision>
  <dcterms:created xsi:type="dcterms:W3CDTF">2021-09-07T15:08:00Z</dcterms:created>
  <dcterms:modified xsi:type="dcterms:W3CDTF">2021-09-07T15:10:00Z</dcterms:modified>
</cp:coreProperties>
</file>